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6E36" w14:textId="49D30074" w:rsidR="00F13439" w:rsidRPr="00776496" w:rsidRDefault="00F13439" w:rsidP="00F1343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496">
        <w:rPr>
          <w:rFonts w:ascii="Times New Roman" w:hAnsi="Times New Roman" w:cs="Times New Roman"/>
          <w:b/>
          <w:bCs/>
          <w:sz w:val="24"/>
          <w:szCs w:val="24"/>
        </w:rPr>
        <w:t>ANNEXE</w:t>
      </w:r>
    </w:p>
    <w:p w14:paraId="1755DC85" w14:textId="5016C3F5" w:rsidR="00F13439" w:rsidRPr="00776496" w:rsidRDefault="00F13439" w:rsidP="00F1343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96">
        <w:rPr>
          <w:rFonts w:ascii="Times New Roman" w:hAnsi="Times New Roman" w:cs="Times New Roman"/>
          <w:b/>
          <w:sz w:val="24"/>
          <w:szCs w:val="24"/>
        </w:rPr>
        <w:t xml:space="preserve">Tableau </w:t>
      </w:r>
      <w:r w:rsidR="00DC3D67" w:rsidRPr="00776496">
        <w:rPr>
          <w:rFonts w:ascii="Times New Roman" w:hAnsi="Times New Roman" w:cs="Times New Roman"/>
          <w:b/>
          <w:sz w:val="24"/>
          <w:szCs w:val="24"/>
        </w:rPr>
        <w:t>A.</w:t>
      </w:r>
      <w:r w:rsidRPr="00776496">
        <w:rPr>
          <w:rFonts w:ascii="Times New Roman" w:hAnsi="Times New Roman" w:cs="Times New Roman"/>
          <w:b/>
          <w:sz w:val="24"/>
          <w:szCs w:val="24"/>
        </w:rPr>
        <w:t>1:</w:t>
      </w:r>
      <w:r w:rsidRPr="00776496">
        <w:rPr>
          <w:rFonts w:ascii="Times New Roman" w:hAnsi="Times New Roman" w:cs="Times New Roman"/>
          <w:sz w:val="24"/>
          <w:szCs w:val="24"/>
        </w:rPr>
        <w:t xml:space="preserve"> Liste des pays d’Afrique subsaharienne </w:t>
      </w:r>
      <w:r w:rsidR="00FD3DAC" w:rsidRPr="00776496">
        <w:rPr>
          <w:rFonts w:ascii="Times New Roman" w:hAnsi="Times New Roman" w:cs="Times New Roman"/>
          <w:sz w:val="24"/>
          <w:szCs w:val="24"/>
        </w:rPr>
        <w:t xml:space="preserve">de l’échantillon </w:t>
      </w:r>
      <w:r w:rsidRPr="00776496">
        <w:rPr>
          <w:rFonts w:ascii="Times New Roman" w:hAnsi="Times New Roman" w:cs="Times New Roman"/>
          <w:sz w:val="24"/>
          <w:szCs w:val="24"/>
        </w:rPr>
        <w:t>utilisé dans cet article</w:t>
      </w:r>
    </w:p>
    <w:tbl>
      <w:tblPr>
        <w:tblW w:w="83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1"/>
        <w:gridCol w:w="177"/>
        <w:gridCol w:w="2046"/>
        <w:gridCol w:w="2758"/>
      </w:tblGrid>
      <w:tr w:rsidR="00F13439" w:rsidRPr="00776496" w14:paraId="4A10FFFB" w14:textId="77777777" w:rsidTr="004558FF">
        <w:trPr>
          <w:trHeight w:val="289"/>
          <w:jc w:val="center"/>
        </w:trPr>
        <w:tc>
          <w:tcPr>
            <w:tcW w:w="3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9980E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bookmarkStart w:id="0" w:name="_Hlk135662728"/>
            <w:r w:rsidRPr="00776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 xml:space="preserve">Nom du pays 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B44B4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976B48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FB8459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  <w:tr w:rsidR="00F13439" w:rsidRPr="00776496" w14:paraId="2EC565CD" w14:textId="77777777" w:rsidTr="00E66675">
        <w:trPr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91C20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Afrique du Sud                                         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8A63A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540DFE86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Ghana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14:paraId="37EA3378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Rwanda</w:t>
            </w:r>
          </w:p>
        </w:tc>
      </w:tr>
      <w:tr w:rsidR="00F13439" w:rsidRPr="00776496" w14:paraId="7654B712" w14:textId="77777777" w:rsidTr="00E66675">
        <w:trPr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F2FD4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Angola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AC75C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6FFEEB1C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Guinée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14:paraId="218E9772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République centrafricaine</w:t>
            </w:r>
          </w:p>
        </w:tc>
      </w:tr>
      <w:tr w:rsidR="00F13439" w:rsidRPr="00776496" w14:paraId="47E6A789" w14:textId="77777777" w:rsidTr="00E66675">
        <w:trPr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01265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Botswana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E730D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572082B4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Guinée équatoriale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14:paraId="15430A16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Sierra Leone</w:t>
            </w:r>
          </w:p>
        </w:tc>
      </w:tr>
      <w:tr w:rsidR="00F13439" w:rsidRPr="00776496" w14:paraId="48EB904D" w14:textId="77777777" w:rsidTr="00E66675">
        <w:trPr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61FCA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Burkina Faso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E6D3D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2CE18385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Guinée-Bissau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14:paraId="627F4E4B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Sénégal</w:t>
            </w:r>
          </w:p>
        </w:tc>
      </w:tr>
      <w:tr w:rsidR="00F13439" w:rsidRPr="00776496" w14:paraId="6A1EF066" w14:textId="77777777" w:rsidTr="00E66675">
        <w:trPr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BB9E2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Burundi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6D9C3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2F3CCC55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Kenya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14:paraId="4A779F16" w14:textId="443C2A41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</w:t>
            </w:r>
            <w:r w:rsidR="00121842"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o</w:t>
            </w: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udan</w:t>
            </w:r>
          </w:p>
        </w:tc>
      </w:tr>
      <w:tr w:rsidR="00F13439" w:rsidRPr="00776496" w14:paraId="351453BF" w14:textId="77777777" w:rsidTr="00E66675">
        <w:trPr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957FD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Bénin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16411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3F58D43D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Lesotho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14:paraId="4DD30FDC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Tanzanie</w:t>
            </w:r>
          </w:p>
        </w:tc>
      </w:tr>
      <w:tr w:rsidR="00F13439" w:rsidRPr="00776496" w14:paraId="330D16D2" w14:textId="77777777" w:rsidTr="00E66675">
        <w:trPr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DA4A5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Cabo Verde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23B1D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19A293F7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Libéria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14:paraId="0D1328B3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Tchad</w:t>
            </w:r>
          </w:p>
        </w:tc>
      </w:tr>
      <w:tr w:rsidR="00F13439" w:rsidRPr="00776496" w14:paraId="381E2132" w14:textId="77777777" w:rsidTr="00E66675">
        <w:trPr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14E2F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Cameroun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11706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772D12A0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Madagascar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14:paraId="17306EFA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Togo</w:t>
            </w:r>
          </w:p>
        </w:tc>
      </w:tr>
      <w:tr w:rsidR="00F13439" w:rsidRPr="00776496" w14:paraId="03B13823" w14:textId="77777777" w:rsidTr="00E66675">
        <w:trPr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C53BA" w14:textId="1FF01343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Congo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4FB3B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4E36FF98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Malawi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14:paraId="2EF8390B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Zambie</w:t>
            </w:r>
          </w:p>
        </w:tc>
      </w:tr>
      <w:tr w:rsidR="00F13439" w:rsidRPr="00776496" w14:paraId="1C3E8715" w14:textId="77777777" w:rsidTr="00E66675">
        <w:trPr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341B9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Congo, République démocratique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D3A17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7F6A3CB3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Mali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14:paraId="29A78FA5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Zimbabwe</w:t>
            </w:r>
          </w:p>
        </w:tc>
      </w:tr>
      <w:tr w:rsidR="00F13439" w:rsidRPr="00776496" w14:paraId="73C2A7C9" w14:textId="77777777" w:rsidTr="00E66675">
        <w:trPr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0F7D0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Côte d’Ivoire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FAF77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B5E51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Maurice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14:paraId="6F1E2D74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13439" w:rsidRPr="00776496" w14:paraId="7853CDD4" w14:textId="77777777" w:rsidTr="00E66675">
        <w:trPr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BB28C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Djibouti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D6753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1930D" w14:textId="77777777" w:rsidR="00F13439" w:rsidRPr="00776496" w:rsidRDefault="00F13439" w:rsidP="004558F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Mozambique 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14:paraId="05932089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13439" w:rsidRPr="00776496" w14:paraId="3FA37A05" w14:textId="77777777" w:rsidTr="00E66675">
        <w:trPr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C48B5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Eswatini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E29FC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D8769" w14:textId="77777777" w:rsidR="00F13439" w:rsidRPr="00776496" w:rsidRDefault="00F13439" w:rsidP="004558F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Namibie 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14:paraId="5530791F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13439" w:rsidRPr="00776496" w14:paraId="2C2C2EAF" w14:textId="77777777" w:rsidTr="00E66675">
        <w:trPr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CF0E6" w14:textId="14687BED" w:rsidR="00F13439" w:rsidRPr="00776496" w:rsidRDefault="00594B10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Éthiopie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294A7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D9021" w14:textId="77777777" w:rsidR="00F13439" w:rsidRPr="00776496" w:rsidRDefault="00F13439" w:rsidP="004558F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Niger 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14:paraId="645F0413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13439" w:rsidRPr="00776496" w14:paraId="3C2B0EFD" w14:textId="77777777" w:rsidTr="00E66675">
        <w:trPr>
          <w:jc w:val="center"/>
        </w:trPr>
        <w:tc>
          <w:tcPr>
            <w:tcW w:w="33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607CAFD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Gabon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031676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046" w:type="dxa"/>
            <w:tcBorders>
              <w:top w:val="nil"/>
              <w:left w:val="nil"/>
              <w:right w:val="nil"/>
            </w:tcBorders>
            <w:vAlign w:val="center"/>
          </w:tcPr>
          <w:p w14:paraId="6581A2CD" w14:textId="77777777" w:rsidR="00F13439" w:rsidRPr="00776496" w:rsidRDefault="00F13439" w:rsidP="004558F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Nigéria </w:t>
            </w:r>
          </w:p>
        </w:tc>
        <w:tc>
          <w:tcPr>
            <w:tcW w:w="2758" w:type="dxa"/>
            <w:tcBorders>
              <w:top w:val="nil"/>
              <w:left w:val="nil"/>
              <w:right w:val="nil"/>
            </w:tcBorders>
          </w:tcPr>
          <w:p w14:paraId="394F8EEE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13439" w:rsidRPr="00776496" w14:paraId="719B4349" w14:textId="77777777" w:rsidTr="00E66675">
        <w:trPr>
          <w:jc w:val="center"/>
        </w:trPr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EAC12C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Gambie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0196D6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04987D" w14:textId="77777777" w:rsidR="00F13439" w:rsidRPr="00776496" w:rsidRDefault="00F13439" w:rsidP="004558F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Ouganda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5AB9EB" w14:textId="77777777" w:rsidR="00F13439" w:rsidRPr="00776496" w:rsidRDefault="00F13439" w:rsidP="00455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bookmarkEnd w:id="0"/>
    <w:p w14:paraId="6C713C55" w14:textId="7DD3D459" w:rsidR="00F13439" w:rsidRPr="00776496" w:rsidRDefault="00F13439" w:rsidP="00F13439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776496">
        <w:rPr>
          <w:rFonts w:ascii="Times New Roman" w:hAnsi="Times New Roman" w:cs="Times New Roman"/>
          <w:sz w:val="24"/>
          <w:szCs w:val="24"/>
        </w:rPr>
        <w:t xml:space="preserve">     </w:t>
      </w:r>
      <w:r w:rsidRPr="00776496">
        <w:rPr>
          <w:rFonts w:ascii="Times New Roman" w:hAnsi="Times New Roman" w:cs="Times New Roman"/>
          <w:b/>
          <w:bCs/>
          <w:sz w:val="20"/>
          <w:szCs w:val="20"/>
        </w:rPr>
        <w:t>Source</w:t>
      </w:r>
      <w:r w:rsidRPr="00776496">
        <w:rPr>
          <w:rFonts w:ascii="Times New Roman" w:hAnsi="Times New Roman" w:cs="Times New Roman"/>
          <w:sz w:val="24"/>
          <w:szCs w:val="24"/>
        </w:rPr>
        <w:t xml:space="preserve">: </w:t>
      </w:r>
      <w:r w:rsidRPr="00776496">
        <w:rPr>
          <w:rFonts w:ascii="Times New Roman" w:hAnsi="Times New Roman" w:cs="Times New Roman"/>
          <w:sz w:val="20"/>
          <w:szCs w:val="20"/>
        </w:rPr>
        <w:t xml:space="preserve">Auteurs </w:t>
      </w:r>
    </w:p>
    <w:p w14:paraId="5FD076F9" w14:textId="3A0BA2F3" w:rsidR="009A16DD" w:rsidRPr="00776496" w:rsidRDefault="009A16DD" w:rsidP="009A16DD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6496">
        <w:rPr>
          <w:rFonts w:ascii="Times New Roman" w:hAnsi="Times New Roman" w:cs="Times New Roman"/>
          <w:b/>
          <w:bCs/>
          <w:sz w:val="24"/>
          <w:szCs w:val="24"/>
        </w:rPr>
        <w:t xml:space="preserve">Tableau </w:t>
      </w:r>
      <w:r w:rsidR="006916F2" w:rsidRPr="00776496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77649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76496">
        <w:rPr>
          <w:rFonts w:ascii="Times New Roman" w:hAnsi="Times New Roman" w:cs="Times New Roman"/>
          <w:sz w:val="24"/>
          <w:szCs w:val="24"/>
        </w:rPr>
        <w:t xml:space="preserve">: </w:t>
      </w:r>
      <w:r w:rsidRPr="00776496">
        <w:rPr>
          <w:rFonts w:ascii="Times New Roman" w:hAnsi="Times New Roman" w:cs="Times New Roman"/>
          <w:b/>
          <w:bCs/>
          <w:sz w:val="24"/>
          <w:szCs w:val="24"/>
        </w:rPr>
        <w:t>Définition et source des variables de l’étude</w:t>
      </w:r>
    </w:p>
    <w:tbl>
      <w:tblPr>
        <w:tblW w:w="92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3"/>
        <w:gridCol w:w="6521"/>
        <w:gridCol w:w="1018"/>
      </w:tblGrid>
      <w:tr w:rsidR="009A16DD" w:rsidRPr="00776496" w14:paraId="7BEA4EDA" w14:textId="77777777" w:rsidTr="008E123C">
        <w:trPr>
          <w:trHeight w:val="290"/>
          <w:jc w:val="center"/>
        </w:trPr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17BB" w14:textId="77777777" w:rsidR="009A16DD" w:rsidRPr="00776496" w:rsidRDefault="009A16DD" w:rsidP="008E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Variable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42A4" w14:textId="77777777" w:rsidR="009A16DD" w:rsidRPr="00776496" w:rsidRDefault="009A16DD" w:rsidP="008E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Définition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E116205" w14:textId="77777777" w:rsidR="009A16DD" w:rsidRPr="00776496" w:rsidRDefault="009A16DD" w:rsidP="008E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Source</w:t>
            </w:r>
          </w:p>
        </w:tc>
      </w:tr>
      <w:tr w:rsidR="009A16DD" w:rsidRPr="00776496" w14:paraId="69418018" w14:textId="77777777" w:rsidTr="008E123C">
        <w:trPr>
          <w:trHeight w:val="665"/>
          <w:jc w:val="center"/>
        </w:trPr>
        <w:tc>
          <w:tcPr>
            <w:tcW w:w="166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6DFF6E8" w14:textId="77777777" w:rsidR="009A16DD" w:rsidRPr="00776496" w:rsidRDefault="009A16DD" w:rsidP="008E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Emploi des jeunes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91009E8" w14:textId="77777777" w:rsidR="009A16DD" w:rsidRPr="00776496" w:rsidRDefault="009A16DD" w:rsidP="008E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représente la proportion de la population âgée entre 15 et 24 ans d’un pays ayant un emploi pendant la période de référence.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</w:tcBorders>
            <w:vAlign w:val="center"/>
          </w:tcPr>
          <w:p w14:paraId="3758EB23" w14:textId="71BE5023" w:rsidR="009A16DD" w:rsidRPr="00776496" w:rsidRDefault="00A6227F" w:rsidP="008E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WDI</w:t>
            </w:r>
          </w:p>
        </w:tc>
      </w:tr>
      <w:tr w:rsidR="009A16DD" w:rsidRPr="00776496" w14:paraId="6240F3B1" w14:textId="77777777" w:rsidTr="008E123C">
        <w:trPr>
          <w:trHeight w:val="290"/>
          <w:jc w:val="center"/>
        </w:trPr>
        <w:tc>
          <w:tcPr>
            <w:tcW w:w="166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0DC0585" w14:textId="77777777" w:rsidR="009A16DD" w:rsidRPr="00776496" w:rsidRDefault="009A16DD" w:rsidP="008E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Emploi agricole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3CC68E6" w14:textId="77777777" w:rsidR="009A16DD" w:rsidRPr="00776496" w:rsidRDefault="009A16DD" w:rsidP="008E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comprend toutes les personnes qui travaillent dans le secteur agricole (agriculture, chasse, sylviculture et pêche).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</w:tcBorders>
            <w:vAlign w:val="center"/>
          </w:tcPr>
          <w:p w14:paraId="33E1387D" w14:textId="636AB459" w:rsidR="009A16DD" w:rsidRPr="00776496" w:rsidRDefault="00A6227F" w:rsidP="008E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WDI</w:t>
            </w:r>
          </w:p>
        </w:tc>
      </w:tr>
      <w:tr w:rsidR="009A16DD" w:rsidRPr="00776496" w14:paraId="78D5F98D" w14:textId="77777777" w:rsidTr="008E123C">
        <w:trPr>
          <w:trHeight w:val="297"/>
          <w:jc w:val="center"/>
        </w:trPr>
        <w:tc>
          <w:tcPr>
            <w:tcW w:w="166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0D1B6CC" w14:textId="77777777" w:rsidR="009A16DD" w:rsidRPr="00776496" w:rsidRDefault="009A16DD" w:rsidP="008E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Emploi industriel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85EA6B9" w14:textId="50CE98F8" w:rsidR="009A16DD" w:rsidRPr="00776496" w:rsidRDefault="00813B26" w:rsidP="008E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 xml:space="preserve">désigne </w:t>
            </w:r>
            <w:r w:rsidR="009A16DD" w:rsidRPr="00776496">
              <w:rPr>
                <w:rFonts w:ascii="Times New Roman" w:hAnsi="Times New Roman" w:cs="Times New Roman"/>
                <w:sz w:val="20"/>
                <w:szCs w:val="20"/>
              </w:rPr>
              <w:t>les emplois d</w:t>
            </w:r>
            <w:r w:rsidR="0091460D" w:rsidRPr="00776496">
              <w:rPr>
                <w:rFonts w:ascii="Times New Roman" w:hAnsi="Times New Roman" w:cs="Times New Roman"/>
                <w:sz w:val="20"/>
                <w:szCs w:val="20"/>
              </w:rPr>
              <w:t>ans le</w:t>
            </w:r>
            <w:r w:rsidR="009A16DD" w:rsidRPr="00776496">
              <w:rPr>
                <w:rFonts w:ascii="Times New Roman" w:hAnsi="Times New Roman" w:cs="Times New Roman"/>
                <w:sz w:val="20"/>
                <w:szCs w:val="20"/>
              </w:rPr>
              <w:t xml:space="preserve"> secteur industriel, qui comprend les mines et les carrières, l’industrie manufacturière, la construction et les services publics (électricité, gaz et eau).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</w:tcBorders>
            <w:vAlign w:val="center"/>
          </w:tcPr>
          <w:p w14:paraId="222ECF5D" w14:textId="745DACCD" w:rsidR="009A16DD" w:rsidRPr="00776496" w:rsidRDefault="00A6227F" w:rsidP="008E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WDI</w:t>
            </w:r>
          </w:p>
        </w:tc>
      </w:tr>
      <w:tr w:rsidR="009A16DD" w:rsidRPr="00776496" w14:paraId="222FD916" w14:textId="77777777" w:rsidTr="008E123C">
        <w:trPr>
          <w:trHeight w:val="565"/>
          <w:jc w:val="center"/>
        </w:trPr>
        <w:tc>
          <w:tcPr>
            <w:tcW w:w="166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3D37D19" w14:textId="07BA9AA5" w:rsidR="009A16DD" w:rsidRPr="00776496" w:rsidRDefault="009A16DD" w:rsidP="008E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Emploi </w:t>
            </w:r>
            <w:r w:rsidR="00A6227F" w:rsidRPr="00776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dans l</w:t>
            </w:r>
            <w:r w:rsidRPr="00776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es services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373110F" w14:textId="573A2FB9" w:rsidR="009A16DD" w:rsidRPr="00776496" w:rsidRDefault="0091460D" w:rsidP="008E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764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désigne </w:t>
            </w:r>
            <w:r w:rsidR="009A16DD" w:rsidRPr="00776496">
              <w:rPr>
                <w:rFonts w:ascii="Times New Roman" w:hAnsi="Times New Roman" w:cs="Times New Roman"/>
                <w:bCs/>
                <w:sz w:val="20"/>
                <w:szCs w:val="20"/>
              </w:rPr>
              <w:t>l’emploi d</w:t>
            </w:r>
            <w:r w:rsidRPr="00776496">
              <w:rPr>
                <w:rFonts w:ascii="Times New Roman" w:hAnsi="Times New Roman" w:cs="Times New Roman"/>
                <w:bCs/>
                <w:sz w:val="20"/>
                <w:szCs w:val="20"/>
              </w:rPr>
              <w:t>ans le</w:t>
            </w:r>
            <w:r w:rsidR="009A16DD" w:rsidRPr="007764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secteur des services, constitué du commerce de gros et de détail, des restaurants et des hôtels; des transports, de l’entreposage et des communications; du financement, de l’assurance, de l’immobilier et des services aux entreprises; et </w:t>
            </w:r>
            <w:r w:rsidR="003D2A8D"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  <w:r w:rsidR="009A16DD" w:rsidRPr="00776496">
              <w:rPr>
                <w:rFonts w:ascii="Times New Roman" w:hAnsi="Times New Roman" w:cs="Times New Roman"/>
                <w:bCs/>
                <w:sz w:val="20"/>
                <w:szCs w:val="20"/>
              </w:rPr>
              <w:t>es services communautaires, sociaux et personnels.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</w:tcBorders>
            <w:vAlign w:val="center"/>
          </w:tcPr>
          <w:p w14:paraId="10623249" w14:textId="49D50EE8" w:rsidR="009A16DD" w:rsidRPr="00776496" w:rsidRDefault="00A6227F" w:rsidP="008E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WDI</w:t>
            </w:r>
          </w:p>
        </w:tc>
      </w:tr>
      <w:tr w:rsidR="009A16DD" w:rsidRPr="00776496" w14:paraId="4199977E" w14:textId="77777777" w:rsidTr="008E123C">
        <w:trPr>
          <w:trHeight w:val="565"/>
          <w:jc w:val="center"/>
        </w:trPr>
        <w:tc>
          <w:tcPr>
            <w:tcW w:w="166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0A7EE2C" w14:textId="77777777" w:rsidR="009A16DD" w:rsidRPr="00776496" w:rsidRDefault="009A16DD" w:rsidP="008E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Température de 2010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568C4E8" w14:textId="30E359AB" w:rsidR="009A16DD" w:rsidRPr="00776496" w:rsidRDefault="009A16DD" w:rsidP="008E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 xml:space="preserve">première variable de traitement, </w:t>
            </w:r>
            <w:r w:rsidR="00354372" w:rsidRPr="00776496">
              <w:rPr>
                <w:rFonts w:ascii="Times New Roman" w:hAnsi="Times New Roman" w:cs="Times New Roman"/>
                <w:sz w:val="20"/>
                <w:szCs w:val="20"/>
              </w:rPr>
              <w:t xml:space="preserve">prenant la valeur </w:t>
            </w: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1 si l’écart de la température par rapport à la moyenne est supérieur ou égal à 1,282 dans un pays en 2010.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</w:tcBorders>
            <w:vAlign w:val="center"/>
          </w:tcPr>
          <w:p w14:paraId="7F56D796" w14:textId="77777777" w:rsidR="009A16DD" w:rsidRPr="00776496" w:rsidRDefault="009A16DD" w:rsidP="008E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CRU</w:t>
            </w:r>
          </w:p>
        </w:tc>
      </w:tr>
      <w:tr w:rsidR="009A16DD" w:rsidRPr="00776496" w14:paraId="5B92A413" w14:textId="77777777" w:rsidTr="008E123C">
        <w:trPr>
          <w:trHeight w:val="290"/>
          <w:jc w:val="center"/>
        </w:trPr>
        <w:tc>
          <w:tcPr>
            <w:tcW w:w="166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C559C4F" w14:textId="77777777" w:rsidR="009A16DD" w:rsidRPr="00776496" w:rsidRDefault="009A16DD" w:rsidP="008E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Sécheresse de 2011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B5A4CE1" w14:textId="4BB73A52" w:rsidR="009A16DD" w:rsidRPr="00776496" w:rsidRDefault="009A16DD" w:rsidP="008E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764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seconde variable de traitement, </w:t>
            </w: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pren</w:t>
            </w:r>
            <w:r w:rsidR="00354372" w:rsidRPr="00776496">
              <w:rPr>
                <w:rFonts w:ascii="Times New Roman" w:hAnsi="Times New Roman" w:cs="Times New Roman"/>
                <w:sz w:val="20"/>
                <w:szCs w:val="20"/>
              </w:rPr>
              <w:t>ant</w:t>
            </w: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 xml:space="preserve"> la valeur 1 si l’écart pluviométrique par rapport à la moyenne est inférieur à 1,282 dans un pays en 2011.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</w:tcBorders>
            <w:vAlign w:val="center"/>
          </w:tcPr>
          <w:p w14:paraId="124426D6" w14:textId="77777777" w:rsidR="009A16DD" w:rsidRPr="00776496" w:rsidRDefault="009A16DD" w:rsidP="008E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CRU</w:t>
            </w:r>
          </w:p>
        </w:tc>
      </w:tr>
      <w:tr w:rsidR="009A16DD" w:rsidRPr="00776496" w14:paraId="7E15D9ED" w14:textId="77777777" w:rsidTr="008E123C">
        <w:trPr>
          <w:trHeight w:val="729"/>
          <w:jc w:val="center"/>
        </w:trPr>
        <w:tc>
          <w:tcPr>
            <w:tcW w:w="166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3AD5FEB" w14:textId="77777777" w:rsidR="009A16DD" w:rsidRPr="00776496" w:rsidRDefault="009A16DD" w:rsidP="008E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  <w:p w14:paraId="4D458D3E" w14:textId="77777777" w:rsidR="009A16DD" w:rsidRPr="00776496" w:rsidRDefault="009A16DD" w:rsidP="008E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76496">
              <w:rPr>
                <w:rFonts w:ascii="Times New Roman" w:hAnsi="Times New Roman" w:cs="Times New Roman"/>
                <w:bCs/>
                <w:sz w:val="20"/>
                <w:szCs w:val="20"/>
              </w:rPr>
              <w:t>IDE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0485952" w14:textId="77777777" w:rsidR="009A16DD" w:rsidRPr="00776496" w:rsidRDefault="009A16DD" w:rsidP="008E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  <w:p w14:paraId="72975170" w14:textId="77777777" w:rsidR="009A16DD" w:rsidRPr="00776496" w:rsidRDefault="009A16DD" w:rsidP="008E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76496">
              <w:rPr>
                <w:rFonts w:ascii="Times New Roman" w:hAnsi="Times New Roman" w:cs="Times New Roman"/>
                <w:bCs/>
                <w:sz w:val="20"/>
                <w:szCs w:val="20"/>
              </w:rPr>
              <w:t>désigne les flux de capitaux propres d’investissement direct par rapport au PIB d’une économie.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</w:tcBorders>
            <w:vAlign w:val="center"/>
          </w:tcPr>
          <w:p w14:paraId="321C2DCD" w14:textId="275FE17F" w:rsidR="009A16DD" w:rsidRPr="00776496" w:rsidRDefault="00A6227F" w:rsidP="008E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WDI</w:t>
            </w:r>
          </w:p>
        </w:tc>
      </w:tr>
      <w:tr w:rsidR="009A16DD" w:rsidRPr="00776496" w14:paraId="4EB0412F" w14:textId="77777777" w:rsidTr="008E123C">
        <w:trPr>
          <w:trHeight w:val="564"/>
          <w:jc w:val="center"/>
        </w:trPr>
        <w:tc>
          <w:tcPr>
            <w:tcW w:w="166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7564BBD" w14:textId="1657FAC7" w:rsidR="009A16DD" w:rsidRPr="00776496" w:rsidRDefault="009A16DD" w:rsidP="008E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Niveau d’é</w:t>
            </w:r>
            <w:r w:rsidR="00BC07E8" w:rsidRPr="00776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tude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4A46834" w14:textId="0FF22CFE" w:rsidR="009A16DD" w:rsidRPr="00776496" w:rsidRDefault="009A16DD" w:rsidP="008E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764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est appréhendé par le taux de scolarisation brut, </w:t>
            </w:r>
            <w:r w:rsidR="00D72160" w:rsidRPr="007764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qui </w:t>
            </w:r>
            <w:r w:rsidRPr="00776496">
              <w:rPr>
                <w:rFonts w:ascii="Times New Roman" w:hAnsi="Times New Roman" w:cs="Times New Roman"/>
                <w:bCs/>
                <w:sz w:val="20"/>
                <w:szCs w:val="20"/>
              </w:rPr>
              <w:t>mesure le nombre d’inscriptions à l’école primaire.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</w:tcBorders>
            <w:vAlign w:val="center"/>
          </w:tcPr>
          <w:p w14:paraId="223E64DD" w14:textId="0715DD91" w:rsidR="009A16DD" w:rsidRPr="00776496" w:rsidRDefault="00A6227F" w:rsidP="008E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WDI</w:t>
            </w:r>
          </w:p>
        </w:tc>
      </w:tr>
      <w:tr w:rsidR="009A16DD" w:rsidRPr="00776496" w14:paraId="192880F4" w14:textId="77777777" w:rsidTr="008E123C">
        <w:trPr>
          <w:trHeight w:val="243"/>
          <w:jc w:val="center"/>
        </w:trPr>
        <w:tc>
          <w:tcPr>
            <w:tcW w:w="166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AC18C2D" w14:textId="77777777" w:rsidR="009A16DD" w:rsidRPr="00776496" w:rsidRDefault="009A16DD" w:rsidP="008E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PIB/habitant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E2B8DF6" w14:textId="483C6A80" w:rsidR="009A16DD" w:rsidRPr="00776496" w:rsidRDefault="009A16DD" w:rsidP="008E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76496">
              <w:rPr>
                <w:rFonts w:ascii="Times New Roman" w:hAnsi="Times New Roman" w:cs="Times New Roman"/>
                <w:bCs/>
                <w:sz w:val="20"/>
                <w:szCs w:val="20"/>
              </w:rPr>
              <w:t>produit intérieur brut divisé par la population en milieu d’année.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</w:tcBorders>
            <w:vAlign w:val="center"/>
          </w:tcPr>
          <w:p w14:paraId="77F1FA9E" w14:textId="6CC26509" w:rsidR="009A16DD" w:rsidRPr="00776496" w:rsidRDefault="00A6227F" w:rsidP="008E1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WDI</w:t>
            </w:r>
          </w:p>
        </w:tc>
      </w:tr>
      <w:tr w:rsidR="009A16DD" w:rsidRPr="00776496" w14:paraId="2096E659" w14:textId="77777777" w:rsidTr="008E123C">
        <w:trPr>
          <w:trHeight w:val="360"/>
          <w:jc w:val="center"/>
        </w:trPr>
        <w:tc>
          <w:tcPr>
            <w:tcW w:w="166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1E7C65D" w14:textId="77777777" w:rsidR="009A16DD" w:rsidRPr="00776496" w:rsidRDefault="009A16DD" w:rsidP="008E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76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Population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3B1C0B0" w14:textId="50CE91E8" w:rsidR="009A16DD" w:rsidRPr="00776496" w:rsidRDefault="009A16DD" w:rsidP="008E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76496">
              <w:rPr>
                <w:rFonts w:ascii="Times New Roman" w:hAnsi="Times New Roman" w:cs="Times New Roman"/>
                <w:bCs/>
                <w:sz w:val="20"/>
                <w:szCs w:val="20"/>
              </w:rPr>
              <w:t>ensemble de tous les résidents</w:t>
            </w:r>
            <w:r w:rsidR="000D28C8" w:rsidRPr="00776496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7764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indépendamment de leur statut légal ou de leur citoyenneté.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</w:tcBorders>
            <w:vAlign w:val="center"/>
          </w:tcPr>
          <w:p w14:paraId="053A1727" w14:textId="53D1F73C" w:rsidR="009A16DD" w:rsidRPr="00776496" w:rsidRDefault="00A6227F" w:rsidP="008E1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WDI</w:t>
            </w:r>
          </w:p>
        </w:tc>
      </w:tr>
      <w:tr w:rsidR="009A16DD" w:rsidRPr="00776496" w14:paraId="76EFA0ED" w14:textId="77777777" w:rsidTr="008E123C">
        <w:trPr>
          <w:trHeight w:val="360"/>
          <w:jc w:val="center"/>
        </w:trPr>
        <w:tc>
          <w:tcPr>
            <w:tcW w:w="166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80F9A21" w14:textId="30183982" w:rsidR="009A16DD" w:rsidRPr="00776496" w:rsidRDefault="000D28C8" w:rsidP="008E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État</w:t>
            </w:r>
            <w:r w:rsidR="009A16DD" w:rsidRPr="00776496">
              <w:rPr>
                <w:rFonts w:ascii="Times New Roman" w:hAnsi="Times New Roman" w:cs="Times New Roman"/>
                <w:sz w:val="20"/>
                <w:szCs w:val="20"/>
              </w:rPr>
              <w:t xml:space="preserve"> de droit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998CDDC" w14:textId="5D5B045E" w:rsidR="009A16DD" w:rsidRPr="00776496" w:rsidRDefault="00215D00" w:rsidP="008E123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64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mesure </w:t>
            </w:r>
            <w:r w:rsidR="009A16DD" w:rsidRPr="007764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les perceptions </w:t>
            </w:r>
            <w:r w:rsidRPr="00776496">
              <w:rPr>
                <w:rFonts w:ascii="Times New Roman" w:hAnsi="Times New Roman" w:cs="Times New Roman"/>
                <w:bCs/>
                <w:sz w:val="20"/>
                <w:szCs w:val="20"/>
              </w:rPr>
              <w:t>concernant la confiance de</w:t>
            </w:r>
            <w:r w:rsidR="009A16DD" w:rsidRPr="007764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 agents </w:t>
            </w:r>
            <w:r w:rsidRPr="00776496">
              <w:rPr>
                <w:rFonts w:ascii="Times New Roman" w:hAnsi="Times New Roman" w:cs="Times New Roman"/>
                <w:bCs/>
                <w:sz w:val="20"/>
                <w:szCs w:val="20"/>
              </w:rPr>
              <w:t>à l’égard des</w:t>
            </w:r>
            <w:r w:rsidR="00CE0C2C" w:rsidRPr="007764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A16DD" w:rsidRPr="00776496">
              <w:rPr>
                <w:rFonts w:ascii="Times New Roman" w:hAnsi="Times New Roman" w:cs="Times New Roman"/>
                <w:bCs/>
                <w:sz w:val="20"/>
                <w:szCs w:val="20"/>
              </w:rPr>
              <w:t>règles de la société et le respect</w:t>
            </w:r>
            <w:r w:rsidR="007548CF" w:rsidRPr="007764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ces règles</w:t>
            </w:r>
            <w:r w:rsidR="009A16DD" w:rsidRPr="007764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en particulier </w:t>
            </w:r>
            <w:r w:rsidR="001C44D3" w:rsidRPr="007764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s’agissant de </w:t>
            </w:r>
            <w:r w:rsidR="009A16DD" w:rsidRPr="00776496">
              <w:rPr>
                <w:rFonts w:ascii="Times New Roman" w:hAnsi="Times New Roman" w:cs="Times New Roman"/>
                <w:bCs/>
                <w:sz w:val="20"/>
                <w:szCs w:val="20"/>
              </w:rPr>
              <w:t>la qualité de l’exécution des contrats, des droits de propriété, de la police et des tribunaux, ainsi que la probabilité de la criminalité et de la violence.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</w:tcBorders>
            <w:vAlign w:val="center"/>
          </w:tcPr>
          <w:p w14:paraId="261E6403" w14:textId="4C10AB2E" w:rsidR="009A16DD" w:rsidRPr="00776496" w:rsidRDefault="00A6227F" w:rsidP="008E1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WGI</w:t>
            </w:r>
          </w:p>
        </w:tc>
      </w:tr>
      <w:tr w:rsidR="009A16DD" w:rsidRPr="00776496" w14:paraId="650346C8" w14:textId="77777777" w:rsidTr="008E123C">
        <w:trPr>
          <w:trHeight w:val="360"/>
          <w:jc w:val="center"/>
        </w:trPr>
        <w:tc>
          <w:tcPr>
            <w:tcW w:w="166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1FD9C22" w14:textId="77777777" w:rsidR="009A16DD" w:rsidRPr="00776496" w:rsidRDefault="009A16DD" w:rsidP="008E1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Urbanisation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95B9DE4" w14:textId="4221B926" w:rsidR="009A16DD" w:rsidRPr="00776496" w:rsidRDefault="00B81DE9" w:rsidP="008E123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6496">
              <w:rPr>
                <w:rFonts w:ascii="Times New Roman" w:hAnsi="Times New Roman" w:cs="Times New Roman"/>
                <w:bCs/>
                <w:sz w:val="20"/>
                <w:szCs w:val="20"/>
              </w:rPr>
              <w:t>f</w:t>
            </w:r>
            <w:r w:rsidR="009A16DD" w:rsidRPr="00776496">
              <w:rPr>
                <w:rFonts w:ascii="Times New Roman" w:hAnsi="Times New Roman" w:cs="Times New Roman"/>
                <w:bCs/>
                <w:sz w:val="20"/>
                <w:szCs w:val="20"/>
              </w:rPr>
              <w:t>ait référenc</w:t>
            </w:r>
            <w:r w:rsidR="009A16DD" w:rsidRPr="00776496">
              <w:rPr>
                <w:rFonts w:ascii="Times New Roman" w:hAnsi="Times New Roman" w:cs="Times New Roman"/>
                <w:bCs/>
                <w:sz w:val="20"/>
                <w:szCs w:val="20"/>
              </w:rPr>
              <w:t>e aux populations vivant dans les zones urbaines.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</w:tcBorders>
            <w:vAlign w:val="center"/>
          </w:tcPr>
          <w:p w14:paraId="2AC50FFE" w14:textId="6CDD0BB4" w:rsidR="009A16DD" w:rsidRPr="00776496" w:rsidRDefault="00A6227F" w:rsidP="008E1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WDI</w:t>
            </w:r>
          </w:p>
        </w:tc>
      </w:tr>
      <w:tr w:rsidR="009A16DD" w:rsidRPr="00776496" w14:paraId="256F4A6A" w14:textId="77777777" w:rsidTr="008E123C">
        <w:trPr>
          <w:trHeight w:val="290"/>
          <w:jc w:val="center"/>
        </w:trPr>
        <w:tc>
          <w:tcPr>
            <w:tcW w:w="166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59BF" w14:textId="77777777" w:rsidR="009A16DD" w:rsidRPr="00776496" w:rsidRDefault="009A16DD" w:rsidP="008E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76496">
              <w:rPr>
                <w:rFonts w:ascii="Times New Roman" w:hAnsi="Times New Roman" w:cs="Times New Roman"/>
                <w:bCs/>
                <w:sz w:val="20"/>
                <w:szCs w:val="20"/>
              </w:rPr>
              <w:t>Régulation du marché du travail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CE3A" w14:textId="77777777" w:rsidR="009A16DD" w:rsidRPr="00776496" w:rsidRDefault="009A16DD" w:rsidP="008E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76496">
              <w:rPr>
                <w:rFonts w:ascii="Times New Roman" w:hAnsi="Times New Roman" w:cs="Times New Roman"/>
                <w:bCs/>
                <w:sz w:val="20"/>
                <w:szCs w:val="20"/>
              </w:rPr>
              <w:t>désigne la règlementation de l’embauche, du licenciement, du salaire minimum, de la négociation et des heures de travail.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40E58BE" w14:textId="2A06F497" w:rsidR="009A16DD" w:rsidRPr="00776496" w:rsidRDefault="001C44D3" w:rsidP="008E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 xml:space="preserve">Institut </w:t>
            </w:r>
            <w:r w:rsidR="009A16DD" w:rsidRPr="00776496">
              <w:rPr>
                <w:rFonts w:ascii="Times New Roman" w:hAnsi="Times New Roman" w:cs="Times New Roman"/>
                <w:sz w:val="20"/>
                <w:szCs w:val="20"/>
              </w:rPr>
              <w:t xml:space="preserve">Fraser </w:t>
            </w:r>
          </w:p>
        </w:tc>
      </w:tr>
    </w:tbl>
    <w:p w14:paraId="398692BC" w14:textId="6E45B5EE" w:rsidR="009A16DD" w:rsidRPr="00776496" w:rsidRDefault="009A16DD" w:rsidP="009A16D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496">
        <w:rPr>
          <w:rFonts w:ascii="Times New Roman" w:hAnsi="Times New Roman" w:cs="Times New Roman"/>
          <w:b/>
          <w:sz w:val="20"/>
          <w:szCs w:val="20"/>
        </w:rPr>
        <w:t>Source</w:t>
      </w:r>
      <w:r w:rsidRPr="00776496">
        <w:rPr>
          <w:rFonts w:ascii="Times New Roman" w:hAnsi="Times New Roman" w:cs="Times New Roman"/>
          <w:sz w:val="20"/>
          <w:szCs w:val="20"/>
        </w:rPr>
        <w:t xml:space="preserve"> : </w:t>
      </w:r>
      <w:r w:rsidR="00746F6D" w:rsidRPr="00776496">
        <w:rPr>
          <w:rFonts w:ascii="Times New Roman" w:hAnsi="Times New Roman" w:cs="Times New Roman"/>
          <w:sz w:val="20"/>
          <w:szCs w:val="20"/>
        </w:rPr>
        <w:t>Auteurs à partir des données de la Banque mondiale (WDI et WGI), de l’Institut Fraser et de la CRU (2021).</w:t>
      </w:r>
    </w:p>
    <w:p w14:paraId="6D4B3A9B" w14:textId="165125BE" w:rsidR="005B605C" w:rsidRPr="00776496" w:rsidRDefault="005B605C" w:rsidP="005B60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96">
        <w:rPr>
          <w:rFonts w:ascii="Times New Roman" w:hAnsi="Times New Roman" w:cs="Times New Roman"/>
          <w:b/>
          <w:bCs/>
          <w:sz w:val="24"/>
          <w:szCs w:val="24"/>
        </w:rPr>
        <w:t xml:space="preserve">Tableau </w:t>
      </w:r>
      <w:r w:rsidR="000E719F" w:rsidRPr="00776496">
        <w:rPr>
          <w:rFonts w:ascii="Times New Roman" w:hAnsi="Times New Roman" w:cs="Times New Roman"/>
          <w:b/>
          <w:bCs/>
          <w:sz w:val="24"/>
          <w:szCs w:val="24"/>
        </w:rPr>
        <w:t>A.3</w:t>
      </w:r>
      <w:r w:rsidRPr="00776496">
        <w:rPr>
          <w:rFonts w:ascii="Times New Roman" w:hAnsi="Times New Roman" w:cs="Times New Roman"/>
          <w:b/>
          <w:bCs/>
          <w:sz w:val="24"/>
          <w:szCs w:val="24"/>
        </w:rPr>
        <w:t>: Test de tendances parallèles</w:t>
      </w:r>
    </w:p>
    <w:tbl>
      <w:tblPr>
        <w:tblW w:w="7470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00"/>
        <w:gridCol w:w="1260"/>
        <w:gridCol w:w="1080"/>
        <w:gridCol w:w="1170"/>
        <w:gridCol w:w="1260"/>
      </w:tblGrid>
      <w:tr w:rsidR="005B605C" w:rsidRPr="00776496" w14:paraId="35DE38E7" w14:textId="77777777" w:rsidTr="008E123C">
        <w:trPr>
          <w:jc w:val="center"/>
        </w:trPr>
        <w:tc>
          <w:tcPr>
            <w:tcW w:w="270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7A14405F" w14:textId="77777777" w:rsidR="005B605C" w:rsidRPr="00776496" w:rsidRDefault="005B605C" w:rsidP="008E1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Variables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75F66449" w14:textId="77777777" w:rsidR="005B605C" w:rsidRPr="00776496" w:rsidRDefault="005B605C" w:rsidP="008E1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Emplois des jeunes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08723464" w14:textId="3A28EC32" w:rsidR="005B605C" w:rsidRPr="00776496" w:rsidRDefault="005B605C" w:rsidP="008E1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Emploi agricole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0509B26" w14:textId="475E7944" w:rsidR="005B605C" w:rsidRPr="00776496" w:rsidRDefault="005B605C" w:rsidP="008E1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Emploi industriel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4F5CCAD5" w14:textId="1296BA4B" w:rsidR="005B605C" w:rsidRPr="00776496" w:rsidRDefault="005B605C" w:rsidP="008E1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 xml:space="preserve">Emploi </w:t>
            </w:r>
            <w:r w:rsidR="005C72CC" w:rsidRPr="00776496">
              <w:rPr>
                <w:rFonts w:ascii="Times New Roman" w:hAnsi="Times New Roman" w:cs="Times New Roman"/>
                <w:sz w:val="20"/>
                <w:szCs w:val="20"/>
              </w:rPr>
              <w:t>dans l</w:t>
            </w: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es services</w:t>
            </w:r>
          </w:p>
        </w:tc>
      </w:tr>
      <w:tr w:rsidR="005B605C" w:rsidRPr="00776496" w14:paraId="659E6109" w14:textId="77777777" w:rsidTr="008E123C">
        <w:trPr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939C27F" w14:textId="77777777" w:rsidR="005B605C" w:rsidRPr="00776496" w:rsidRDefault="005B605C" w:rsidP="008E1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Traitement x Contrôle 2010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74E0A" w14:textId="77777777" w:rsidR="005B605C" w:rsidRPr="00776496" w:rsidRDefault="005B605C" w:rsidP="008E1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6,592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9AF8B" w14:textId="77777777" w:rsidR="005B605C" w:rsidRPr="00776496" w:rsidRDefault="005B605C" w:rsidP="008E1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12,153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06680" w14:textId="77777777" w:rsidR="005B605C" w:rsidRPr="00776496" w:rsidRDefault="005B605C" w:rsidP="008E1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-0,888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911D7" w14:textId="77777777" w:rsidR="005B605C" w:rsidRPr="00776496" w:rsidRDefault="005B605C" w:rsidP="008E1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-11,265</w:t>
            </w:r>
          </w:p>
        </w:tc>
      </w:tr>
      <w:tr w:rsidR="005B605C" w:rsidRPr="00776496" w14:paraId="09D3D9F9" w14:textId="77777777" w:rsidTr="008E123C">
        <w:trPr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07FD80E5" w14:textId="77777777" w:rsidR="005B605C" w:rsidRPr="00776496" w:rsidRDefault="005B605C" w:rsidP="008E1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696E0" w14:textId="77777777" w:rsidR="005B605C" w:rsidRPr="00776496" w:rsidRDefault="005B605C" w:rsidP="008E1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(0,276)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6E65D" w14:textId="77777777" w:rsidR="005B605C" w:rsidRPr="00776496" w:rsidRDefault="005B605C" w:rsidP="008E1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(0,118)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07992" w14:textId="77777777" w:rsidR="005B605C" w:rsidRPr="00776496" w:rsidRDefault="005B605C" w:rsidP="008E1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(0,739)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48C37" w14:textId="77777777" w:rsidR="005B605C" w:rsidRPr="00776496" w:rsidRDefault="005B605C" w:rsidP="008E1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(0,167)</w:t>
            </w:r>
          </w:p>
        </w:tc>
      </w:tr>
      <w:tr w:rsidR="005B605C" w:rsidRPr="00776496" w14:paraId="6B0CCC3A" w14:textId="77777777" w:rsidTr="008E123C">
        <w:trPr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</w:tcPr>
          <w:p w14:paraId="1F5DDD95" w14:textId="77777777" w:rsidR="005B605C" w:rsidRPr="00776496" w:rsidRDefault="005B605C" w:rsidP="008E1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Traitement x Contrôle 2011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center"/>
          </w:tcPr>
          <w:p w14:paraId="6F0A527A" w14:textId="77777777" w:rsidR="005B605C" w:rsidRPr="00776496" w:rsidRDefault="005B605C" w:rsidP="008E1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-1,992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14:paraId="7A0AF8BE" w14:textId="77777777" w:rsidR="005B605C" w:rsidRPr="00776496" w:rsidRDefault="005B605C" w:rsidP="008E1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-5,843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vAlign w:val="center"/>
          </w:tcPr>
          <w:p w14:paraId="11F59CEB" w14:textId="77777777" w:rsidR="005B605C" w:rsidRPr="00776496" w:rsidRDefault="005B605C" w:rsidP="008E1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-0,094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center"/>
          </w:tcPr>
          <w:p w14:paraId="16919BA5" w14:textId="77777777" w:rsidR="005B605C" w:rsidRPr="00776496" w:rsidRDefault="005B605C" w:rsidP="008E1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5,937</w:t>
            </w:r>
          </w:p>
        </w:tc>
      </w:tr>
      <w:tr w:rsidR="005B605C" w:rsidRPr="00776496" w14:paraId="197A96A8" w14:textId="77777777" w:rsidTr="008E123C">
        <w:trPr>
          <w:jc w:val="center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03AB41" w14:textId="77777777" w:rsidR="005B605C" w:rsidRPr="00776496" w:rsidRDefault="005B605C" w:rsidP="008E1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CDC2E4" w14:textId="77777777" w:rsidR="005B605C" w:rsidRPr="00776496" w:rsidRDefault="005B605C" w:rsidP="008E1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(0,874)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BA7C58" w14:textId="77777777" w:rsidR="005B605C" w:rsidRPr="00776496" w:rsidRDefault="005B605C" w:rsidP="008E1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(0,719)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411BCD" w14:textId="77777777" w:rsidR="005B605C" w:rsidRPr="00776496" w:rsidRDefault="005B605C" w:rsidP="008E1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(0,986)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D46D87" w14:textId="77777777" w:rsidR="005B605C" w:rsidRPr="00776496" w:rsidRDefault="005B605C" w:rsidP="008E1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96">
              <w:rPr>
                <w:rFonts w:ascii="Times New Roman" w:hAnsi="Times New Roman" w:cs="Times New Roman"/>
                <w:sz w:val="20"/>
                <w:szCs w:val="20"/>
              </w:rPr>
              <w:t>(0,643)</w:t>
            </w:r>
          </w:p>
        </w:tc>
      </w:tr>
    </w:tbl>
    <w:p w14:paraId="0EF270DE" w14:textId="6F34D61F" w:rsidR="005B605C" w:rsidRPr="00776496" w:rsidRDefault="005B605C" w:rsidP="005B60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496">
        <w:rPr>
          <w:rFonts w:ascii="Times New Roman" w:hAnsi="Times New Roman" w:cs="Times New Roman"/>
          <w:b/>
          <w:sz w:val="20"/>
          <w:szCs w:val="20"/>
        </w:rPr>
        <w:t>Note</w:t>
      </w:r>
      <w:r w:rsidRPr="00776496">
        <w:rPr>
          <w:rFonts w:ascii="Times New Roman" w:hAnsi="Times New Roman" w:cs="Times New Roman"/>
          <w:sz w:val="20"/>
          <w:szCs w:val="20"/>
        </w:rPr>
        <w:t xml:space="preserve">: </w:t>
      </w:r>
      <w:r w:rsidR="005C72CC" w:rsidRPr="00776496">
        <w:rPr>
          <w:rFonts w:ascii="Times New Roman" w:hAnsi="Times New Roman" w:cs="Times New Roman"/>
          <w:sz w:val="20"/>
          <w:szCs w:val="20"/>
        </w:rPr>
        <w:t>L</w:t>
      </w:r>
      <w:r w:rsidRPr="00776496">
        <w:rPr>
          <w:rFonts w:ascii="Times New Roman" w:hAnsi="Times New Roman" w:cs="Times New Roman"/>
          <w:sz w:val="20"/>
          <w:szCs w:val="20"/>
        </w:rPr>
        <w:t>es nombres entre parenthèses représentent les probabilités.</w:t>
      </w:r>
    </w:p>
    <w:p w14:paraId="05E0B338" w14:textId="590748CA" w:rsidR="005B605C" w:rsidRPr="00776496" w:rsidRDefault="005B605C" w:rsidP="005B605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496">
        <w:rPr>
          <w:rFonts w:ascii="Times New Roman" w:hAnsi="Times New Roman" w:cs="Times New Roman"/>
          <w:b/>
          <w:sz w:val="20"/>
          <w:szCs w:val="20"/>
        </w:rPr>
        <w:t>Source</w:t>
      </w:r>
      <w:r w:rsidRPr="00776496">
        <w:rPr>
          <w:rFonts w:ascii="Times New Roman" w:hAnsi="Times New Roman" w:cs="Times New Roman"/>
          <w:sz w:val="20"/>
          <w:szCs w:val="20"/>
        </w:rPr>
        <w:t xml:space="preserve">: </w:t>
      </w:r>
      <w:r w:rsidR="005C72CC" w:rsidRPr="00776496">
        <w:rPr>
          <w:rFonts w:ascii="Times New Roman" w:hAnsi="Times New Roman" w:cs="Times New Roman"/>
          <w:sz w:val="20"/>
          <w:szCs w:val="20"/>
        </w:rPr>
        <w:t>Auteurs à partir des données de la Banque mondiale (WDI et WGI), de l’Institut Fraser et de la CRU (2021).</w:t>
      </w:r>
    </w:p>
    <w:p w14:paraId="42F472B1" w14:textId="5D580F55" w:rsidR="00F13439" w:rsidRPr="00776496" w:rsidRDefault="00F13439" w:rsidP="00F13439">
      <w:pPr>
        <w:spacing w:before="240" w:line="48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126595070"/>
      <w:bookmarkStart w:id="2" w:name="_Toc126595244"/>
      <w:bookmarkStart w:id="3" w:name="_Toc126595367"/>
      <w:bookmarkStart w:id="4" w:name="_Toc126595619"/>
      <w:bookmarkStart w:id="5" w:name="_Toc126596058"/>
      <w:bookmarkStart w:id="6" w:name="_Toc127296739"/>
      <w:bookmarkStart w:id="7" w:name="_Toc127297713"/>
      <w:bookmarkStart w:id="8" w:name="_Toc127297813"/>
      <w:bookmarkStart w:id="9" w:name="_Toc127298053"/>
      <w:bookmarkStart w:id="10" w:name="_Toc127298472"/>
      <w:bookmarkStart w:id="11" w:name="_Hlk121141422"/>
      <w:r w:rsidRPr="00776496">
        <w:rPr>
          <w:rFonts w:ascii="Times New Roman" w:hAnsi="Times New Roman" w:cs="Times New Roman"/>
          <w:b/>
          <w:bCs/>
          <w:sz w:val="24"/>
          <w:szCs w:val="24"/>
        </w:rPr>
        <w:t xml:space="preserve">Tableau </w:t>
      </w:r>
      <w:r w:rsidR="001A6511" w:rsidRPr="00776496">
        <w:rPr>
          <w:rFonts w:ascii="Times New Roman" w:hAnsi="Times New Roman" w:cs="Times New Roman"/>
          <w:b/>
          <w:bCs/>
          <w:sz w:val="24"/>
          <w:szCs w:val="24"/>
        </w:rPr>
        <w:t>A.4</w:t>
      </w:r>
      <w:r w:rsidRPr="00776496">
        <w:rPr>
          <w:rFonts w:ascii="Times New Roman" w:hAnsi="Times New Roman" w:cs="Times New Roman"/>
          <w:b/>
          <w:bCs/>
          <w:sz w:val="24"/>
          <w:szCs w:val="24"/>
        </w:rPr>
        <w:t xml:space="preserve">: Effets de la température sur </w:t>
      </w:r>
      <w:r w:rsidRPr="00776496">
        <w:rPr>
          <w:rFonts w:ascii="Times New Roman" w:eastAsiaTheme="minorEastAsia" w:hAnsi="Times New Roman" w:cs="Times New Roman"/>
          <w:b/>
          <w:bCs/>
          <w:sz w:val="24"/>
          <w:szCs w:val="24"/>
        </w:rPr>
        <w:t>l’emploi informel et indépendant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W w:w="10350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0"/>
        <w:gridCol w:w="1800"/>
        <w:gridCol w:w="1724"/>
        <w:gridCol w:w="2146"/>
        <w:gridCol w:w="1710"/>
      </w:tblGrid>
      <w:tr w:rsidR="00F13439" w:rsidRPr="00776496" w14:paraId="36FB5C1C" w14:textId="77777777" w:rsidTr="004558FF">
        <w:trPr>
          <w:trHeight w:val="264"/>
          <w:jc w:val="center"/>
        </w:trPr>
        <w:tc>
          <w:tcPr>
            <w:tcW w:w="2970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bookmarkEnd w:id="11"/>
          <w:p w14:paraId="36E0D528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352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A5E25BD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Emploi informel</w:t>
            </w: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8DAA511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Travail indépendant</w:t>
            </w:r>
          </w:p>
        </w:tc>
      </w:tr>
      <w:tr w:rsidR="00F13439" w:rsidRPr="00776496" w14:paraId="57A8D223" w14:textId="77777777" w:rsidTr="004558FF">
        <w:trPr>
          <w:trHeight w:val="255"/>
          <w:jc w:val="center"/>
        </w:trPr>
        <w:tc>
          <w:tcPr>
            <w:tcW w:w="2970" w:type="dxa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64097D54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B19F394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</w:rPr>
              <w:t>Faible régulation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0DA25C78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</w:rPr>
              <w:t>Forte régulation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8C22A0F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</w:rPr>
              <w:t>Faible régulation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BD43959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</w:rPr>
              <w:t>Forte régulation</w:t>
            </w:r>
          </w:p>
        </w:tc>
      </w:tr>
      <w:tr w:rsidR="00F13439" w:rsidRPr="00776496" w14:paraId="353B7ED2" w14:textId="77777777" w:rsidTr="004558FF">
        <w:trPr>
          <w:trHeight w:val="264"/>
          <w:jc w:val="center"/>
        </w:trPr>
        <w:tc>
          <w:tcPr>
            <w:tcW w:w="297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2927B82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898E831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72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D1081F6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14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D5682E5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AE884CD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F13439" w:rsidRPr="00776496" w14:paraId="2F39169D" w14:textId="77777777" w:rsidTr="004558FF">
        <w:trPr>
          <w:trHeight w:val="112"/>
          <w:jc w:val="center"/>
        </w:trPr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7D09AB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</w:rPr>
              <w:t>Température 2010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8B49F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0,660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6606E4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0,359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23051C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12,80**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87EA6D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-2,527</w:t>
            </w:r>
          </w:p>
        </w:tc>
      </w:tr>
      <w:tr w:rsidR="00F13439" w:rsidRPr="00776496" w14:paraId="6D4BF8AB" w14:textId="77777777" w:rsidTr="004558FF">
        <w:trPr>
          <w:trHeight w:val="25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3C2555A9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F53F8F3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(2,187)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53828A32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(2,452)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14:paraId="51FC8D2F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(5,001)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C128ED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(3,249)</w:t>
            </w:r>
          </w:p>
        </w:tc>
      </w:tr>
      <w:tr w:rsidR="00F13439" w:rsidRPr="00776496" w14:paraId="6B03234C" w14:textId="77777777" w:rsidTr="004558FF">
        <w:trPr>
          <w:trHeight w:val="25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168F9988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</w:rPr>
              <w:t>Post 2010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E01AEFB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-5,325***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41A28BFB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-3,950***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14:paraId="13E0E9E3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1,570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6796ACE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-3,994***</w:t>
            </w:r>
          </w:p>
        </w:tc>
      </w:tr>
      <w:tr w:rsidR="00F13439" w:rsidRPr="00776496" w14:paraId="143B8BEF" w14:textId="77777777" w:rsidTr="004558FF">
        <w:trPr>
          <w:trHeight w:val="264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726DF8DE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FF149F7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(0,905)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66AF8988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(0,858)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14:paraId="773C0989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(2,654)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546B285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(1,208)</w:t>
            </w:r>
          </w:p>
        </w:tc>
      </w:tr>
      <w:tr w:rsidR="00F13439" w:rsidRPr="00776496" w14:paraId="050BE34A" w14:textId="77777777" w:rsidTr="004558FF">
        <w:trPr>
          <w:trHeight w:val="264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4B740DB7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</w:rPr>
              <w:t>Post x Température 2010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E3F00AB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-1,198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12097C23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-0,881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14:paraId="10EC004B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-24,30***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8D3EBDA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1,156</w:t>
            </w:r>
          </w:p>
        </w:tc>
      </w:tr>
      <w:tr w:rsidR="00F13439" w:rsidRPr="00776496" w14:paraId="2923FB74" w14:textId="77777777" w:rsidTr="004558FF">
        <w:trPr>
          <w:trHeight w:val="25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341B403C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47C1A09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(2,529)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77FF95BF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(2,875)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14:paraId="2320AF5C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(7,393)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F41059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(4,009)</w:t>
            </w:r>
          </w:p>
        </w:tc>
      </w:tr>
      <w:tr w:rsidR="00F13439" w:rsidRPr="00776496" w14:paraId="4D3B82D0" w14:textId="77777777" w:rsidTr="004558FF">
        <w:trPr>
          <w:trHeight w:val="264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647251CD" w14:textId="507DEE20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Constant</w:t>
            </w:r>
            <w:r w:rsidR="008853E6" w:rsidRPr="0077649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0B91C50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41,05***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287FDFB0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38,86***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14:paraId="4CB5265F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59,46***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8DF6A2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80,57***</w:t>
            </w:r>
          </w:p>
        </w:tc>
      </w:tr>
      <w:tr w:rsidR="00F13439" w:rsidRPr="00776496" w14:paraId="5CFC8006" w14:textId="77777777" w:rsidTr="004558FF">
        <w:trPr>
          <w:trHeight w:val="25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7F1636DB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24372D6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(0,592)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40993836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(0,602)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14:paraId="510E397F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(1,670)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9C09AB9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(0,638)</w:t>
            </w:r>
          </w:p>
        </w:tc>
      </w:tr>
      <w:tr w:rsidR="00F13439" w:rsidRPr="00776496" w14:paraId="65637C11" w14:textId="77777777" w:rsidTr="004558FF">
        <w:trPr>
          <w:trHeight w:val="264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5DC857B2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9D9289E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4AF83740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14:paraId="2F6C63C6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C3C6E61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</w:tr>
      <w:tr w:rsidR="00F13439" w:rsidRPr="00776496" w14:paraId="19F20925" w14:textId="77777777" w:rsidTr="004558FF">
        <w:tblPrEx>
          <w:tblBorders>
            <w:bottom w:val="single" w:sz="6" w:space="0" w:color="auto"/>
          </w:tblBorders>
        </w:tblPrEx>
        <w:trPr>
          <w:trHeight w:val="264"/>
          <w:jc w:val="center"/>
        </w:trPr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49B89B1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764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FE2C42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0,154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F4BB77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C895C2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0,019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25D890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</w:tr>
    </w:tbl>
    <w:p w14:paraId="75559B97" w14:textId="7D3786AE" w:rsidR="00F13439" w:rsidRPr="00776496" w:rsidRDefault="00F13439" w:rsidP="00F13439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bookmarkStart w:id="12" w:name="_Hlk159937016"/>
      <w:r w:rsidRPr="00776496">
        <w:rPr>
          <w:rFonts w:ascii="Times New Roman" w:hAnsi="Times New Roman" w:cs="Times New Roman"/>
          <w:b/>
          <w:sz w:val="20"/>
          <w:szCs w:val="20"/>
        </w:rPr>
        <w:t>Note</w:t>
      </w:r>
      <w:r w:rsidRPr="00776496">
        <w:rPr>
          <w:rFonts w:ascii="Times New Roman" w:hAnsi="Times New Roman" w:cs="Times New Roman"/>
          <w:sz w:val="20"/>
          <w:szCs w:val="20"/>
        </w:rPr>
        <w:t xml:space="preserve">: </w:t>
      </w:r>
      <w:r w:rsidR="003D2A8D">
        <w:rPr>
          <w:rFonts w:ascii="Times New Roman" w:hAnsi="Times New Roman" w:cs="Times New Roman"/>
          <w:sz w:val="20"/>
          <w:szCs w:val="20"/>
        </w:rPr>
        <w:t>L</w:t>
      </w:r>
      <w:r w:rsidRPr="00776496">
        <w:rPr>
          <w:rFonts w:ascii="Times New Roman" w:hAnsi="Times New Roman" w:cs="Times New Roman"/>
          <w:sz w:val="20"/>
          <w:szCs w:val="20"/>
        </w:rPr>
        <w:t>es nombres entre parenthèses représentent les erreurs standards robustes des coefficients estimés; *, **, *** représentent les significativités à 10%, 5% et 1%.</w:t>
      </w:r>
    </w:p>
    <w:p w14:paraId="703EF72C" w14:textId="2DF6569D" w:rsidR="00F13439" w:rsidRPr="00776496" w:rsidRDefault="00F13439" w:rsidP="00F13439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776496">
        <w:rPr>
          <w:rFonts w:ascii="Times New Roman" w:hAnsi="Times New Roman" w:cs="Times New Roman"/>
          <w:b/>
          <w:sz w:val="20"/>
          <w:szCs w:val="20"/>
        </w:rPr>
        <w:lastRenderedPageBreak/>
        <w:t>Source</w:t>
      </w:r>
      <w:r w:rsidRPr="00776496">
        <w:rPr>
          <w:rFonts w:ascii="Times New Roman" w:hAnsi="Times New Roman" w:cs="Times New Roman"/>
          <w:sz w:val="20"/>
          <w:szCs w:val="20"/>
        </w:rPr>
        <w:t xml:space="preserve">: </w:t>
      </w:r>
      <w:bookmarkEnd w:id="12"/>
      <w:r w:rsidR="007E6683" w:rsidRPr="00776496">
        <w:rPr>
          <w:rFonts w:ascii="Times New Roman" w:hAnsi="Times New Roman" w:cs="Times New Roman"/>
          <w:sz w:val="20"/>
          <w:szCs w:val="20"/>
        </w:rPr>
        <w:t>Auteurs à partir des données de la Banque mondiale (WDI et WGI), de l’Institut Fraser et de la CRU (2021).</w:t>
      </w:r>
    </w:p>
    <w:p w14:paraId="3A9D54FC" w14:textId="15078A79" w:rsidR="00F13439" w:rsidRPr="00776496" w:rsidRDefault="00F13439" w:rsidP="00F13439">
      <w:pPr>
        <w:spacing w:line="48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3" w:name="_Toc126595072"/>
      <w:bookmarkStart w:id="14" w:name="_Toc126595245"/>
      <w:bookmarkStart w:id="15" w:name="_Toc126595368"/>
      <w:bookmarkStart w:id="16" w:name="_Toc126595620"/>
      <w:bookmarkStart w:id="17" w:name="_Toc126596059"/>
      <w:bookmarkStart w:id="18" w:name="_Toc127296740"/>
      <w:bookmarkStart w:id="19" w:name="_Toc127297714"/>
      <w:bookmarkStart w:id="20" w:name="_Toc127297814"/>
      <w:bookmarkStart w:id="21" w:name="_Toc127298054"/>
      <w:bookmarkStart w:id="22" w:name="_Toc127298474"/>
      <w:r w:rsidRPr="00776496">
        <w:rPr>
          <w:rFonts w:ascii="Times New Roman" w:hAnsi="Times New Roman" w:cs="Times New Roman"/>
          <w:b/>
          <w:bCs/>
          <w:sz w:val="24"/>
          <w:szCs w:val="24"/>
        </w:rPr>
        <w:t xml:space="preserve">Tableau </w:t>
      </w:r>
      <w:r w:rsidR="000E00BD" w:rsidRPr="00776496">
        <w:rPr>
          <w:rFonts w:ascii="Times New Roman" w:hAnsi="Times New Roman" w:cs="Times New Roman"/>
          <w:b/>
          <w:bCs/>
          <w:sz w:val="24"/>
          <w:szCs w:val="24"/>
        </w:rPr>
        <w:t>A.5</w:t>
      </w:r>
      <w:r w:rsidRPr="00776496">
        <w:rPr>
          <w:rFonts w:ascii="Times New Roman" w:hAnsi="Times New Roman" w:cs="Times New Roman"/>
          <w:b/>
          <w:bCs/>
          <w:sz w:val="24"/>
          <w:szCs w:val="24"/>
        </w:rPr>
        <w:t xml:space="preserve">: Effets de la sécheresse sur </w:t>
      </w:r>
      <w:r w:rsidRPr="00776496">
        <w:rPr>
          <w:rFonts w:ascii="Times New Roman" w:eastAsiaTheme="minorEastAsia" w:hAnsi="Times New Roman" w:cs="Times New Roman"/>
          <w:b/>
          <w:bCs/>
          <w:sz w:val="24"/>
          <w:szCs w:val="24"/>
        </w:rPr>
        <w:t>l’emploi informel et indépendant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tbl>
      <w:tblPr>
        <w:tblW w:w="9423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35"/>
        <w:gridCol w:w="1715"/>
        <w:gridCol w:w="1620"/>
        <w:gridCol w:w="1800"/>
        <w:gridCol w:w="1953"/>
      </w:tblGrid>
      <w:tr w:rsidR="00F13439" w:rsidRPr="00776496" w14:paraId="679E09F1" w14:textId="77777777" w:rsidTr="004558FF">
        <w:trPr>
          <w:trHeight w:val="291"/>
          <w:jc w:val="center"/>
        </w:trPr>
        <w:tc>
          <w:tcPr>
            <w:tcW w:w="2335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40D22715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3335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9321ACF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Emploi informel</w:t>
            </w:r>
          </w:p>
        </w:tc>
        <w:tc>
          <w:tcPr>
            <w:tcW w:w="375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23B4A4B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Travail indépendant</w:t>
            </w:r>
          </w:p>
        </w:tc>
      </w:tr>
      <w:tr w:rsidR="00F13439" w:rsidRPr="00776496" w14:paraId="45BF6870" w14:textId="77777777" w:rsidTr="004558FF">
        <w:trPr>
          <w:trHeight w:val="280"/>
          <w:jc w:val="center"/>
        </w:trPr>
        <w:tc>
          <w:tcPr>
            <w:tcW w:w="2335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14:paraId="34F05591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030F6E8D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</w:rPr>
              <w:t>Faible régulation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0210C6A8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</w:rPr>
              <w:t>Forte régulation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8A1CDAF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</w:rPr>
              <w:t>Faible régulation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25C9B52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</w:rPr>
              <w:t>Forte régulation</w:t>
            </w:r>
          </w:p>
        </w:tc>
      </w:tr>
      <w:tr w:rsidR="00F13439" w:rsidRPr="00776496" w14:paraId="7F46F4F5" w14:textId="77777777" w:rsidTr="004558FF">
        <w:trPr>
          <w:trHeight w:val="291"/>
          <w:jc w:val="center"/>
        </w:trPr>
        <w:tc>
          <w:tcPr>
            <w:tcW w:w="233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B166DBF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67D2928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AA0A52C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FED40F5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95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BE1C4C7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F13439" w:rsidRPr="00776496" w14:paraId="620D3681" w14:textId="77777777" w:rsidTr="004558FF">
        <w:trPr>
          <w:trHeight w:val="291"/>
          <w:jc w:val="center"/>
        </w:trPr>
        <w:tc>
          <w:tcPr>
            <w:tcW w:w="23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306612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Sécheresse 2011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C89F2D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3,527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8F44A3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3,720*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48D90A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-0,239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BB1478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0,855</w:t>
            </w:r>
          </w:p>
        </w:tc>
      </w:tr>
      <w:tr w:rsidR="00F13439" w:rsidRPr="00776496" w14:paraId="19E2F004" w14:textId="77777777" w:rsidTr="004558FF">
        <w:trPr>
          <w:trHeight w:val="280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2FF0D6D2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14:paraId="456DF59A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(2,372)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6740172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(1,908)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B68267D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(4,427)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75996C76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(2,225)</w:t>
            </w:r>
          </w:p>
        </w:tc>
      </w:tr>
      <w:tr w:rsidR="00F13439" w:rsidRPr="00776496" w14:paraId="0E1A29D9" w14:textId="77777777" w:rsidTr="004558FF">
        <w:trPr>
          <w:trHeight w:val="280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321E9AC0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Post 2011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14:paraId="5B2394A9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-5,381***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F0AFA39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-4,044***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32E4CF3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-2,205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024AE404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-4,086***</w:t>
            </w:r>
          </w:p>
        </w:tc>
      </w:tr>
      <w:tr w:rsidR="00F13439" w:rsidRPr="00776496" w14:paraId="344F3827" w14:textId="77777777" w:rsidTr="004558FF">
        <w:trPr>
          <w:trHeight w:val="291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1CC42CBF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14:paraId="2CF56DBC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(0,852)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E7F90AC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(0,825)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EDE0C58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(2,677)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078C8176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(1,180)</w:t>
            </w:r>
          </w:p>
        </w:tc>
      </w:tr>
      <w:tr w:rsidR="00F13439" w:rsidRPr="00776496" w14:paraId="0BF7A904" w14:textId="77777777" w:rsidTr="004558FF">
        <w:trPr>
          <w:trHeight w:val="291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5E29F10E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</w:rPr>
              <w:t>Post x Sécheresse 2011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14:paraId="0A118B78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-0,319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E2024DA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4,962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232AA1F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21,61***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3CB52275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-1,559</w:t>
            </w:r>
          </w:p>
        </w:tc>
      </w:tr>
      <w:tr w:rsidR="00F13439" w:rsidRPr="00776496" w14:paraId="0EDA44FE" w14:textId="77777777" w:rsidTr="004558FF">
        <w:trPr>
          <w:trHeight w:val="280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371BAF02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14:paraId="3C15AE2D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(2,465)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6C7D502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(3,435)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B436D57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(7,112)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44C6849D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(5,664)</w:t>
            </w:r>
          </w:p>
        </w:tc>
      </w:tr>
      <w:tr w:rsidR="00F13439" w:rsidRPr="00776496" w14:paraId="2F4F113F" w14:textId="77777777" w:rsidTr="004558FF">
        <w:trPr>
          <w:trHeight w:val="291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66958276" w14:textId="1F3BB940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Constant</w:t>
            </w:r>
            <w:r w:rsidR="008853E6" w:rsidRPr="0077649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14:paraId="10BADFEE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40,61***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C2D78FC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38,25***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7875F59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60,22***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0F61A04B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80,24***</w:t>
            </w:r>
          </w:p>
        </w:tc>
      </w:tr>
      <w:tr w:rsidR="00F13439" w:rsidRPr="00776496" w14:paraId="7016A548" w14:textId="77777777" w:rsidTr="004558FF">
        <w:trPr>
          <w:trHeight w:val="280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075579FA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14:paraId="7535285C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(0,561)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35A48A3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(0,577)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9A14865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(1,688)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0B63007E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(0,640)</w:t>
            </w:r>
          </w:p>
        </w:tc>
      </w:tr>
      <w:tr w:rsidR="00F13439" w:rsidRPr="00776496" w14:paraId="64E71C6B" w14:textId="77777777" w:rsidTr="004558FF">
        <w:trPr>
          <w:trHeight w:val="291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2FCFAE3F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14:paraId="4D5C80BA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0C3313D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B44F0EB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6EDB0F4E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</w:tr>
      <w:tr w:rsidR="00F13439" w:rsidRPr="00776496" w14:paraId="038D9BD0" w14:textId="77777777" w:rsidTr="004558FF">
        <w:tblPrEx>
          <w:tblBorders>
            <w:bottom w:val="single" w:sz="6" w:space="0" w:color="auto"/>
          </w:tblBorders>
        </w:tblPrEx>
        <w:trPr>
          <w:trHeight w:val="291"/>
          <w:jc w:val="center"/>
        </w:trPr>
        <w:tc>
          <w:tcPr>
            <w:tcW w:w="2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3A2318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764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610A9C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0,155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BE0FA08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0,075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E4EC62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0,009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4D3F98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0,018</w:t>
            </w:r>
          </w:p>
        </w:tc>
      </w:tr>
    </w:tbl>
    <w:p w14:paraId="6A9F3C1F" w14:textId="1C1F8C49" w:rsidR="00F13439" w:rsidRPr="00776496" w:rsidRDefault="00F13439" w:rsidP="00F13439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776496">
        <w:rPr>
          <w:rFonts w:ascii="Times New Roman" w:hAnsi="Times New Roman" w:cs="Times New Roman"/>
          <w:b/>
          <w:sz w:val="20"/>
          <w:szCs w:val="20"/>
        </w:rPr>
        <w:t>Note</w:t>
      </w:r>
      <w:r w:rsidRPr="00776496">
        <w:rPr>
          <w:rFonts w:ascii="Times New Roman" w:hAnsi="Times New Roman" w:cs="Times New Roman"/>
          <w:sz w:val="20"/>
          <w:szCs w:val="20"/>
        </w:rPr>
        <w:t xml:space="preserve">: </w:t>
      </w:r>
      <w:r w:rsidR="00F973A3">
        <w:rPr>
          <w:rFonts w:ascii="Times New Roman" w:hAnsi="Times New Roman" w:cs="Times New Roman"/>
          <w:sz w:val="20"/>
          <w:szCs w:val="20"/>
        </w:rPr>
        <w:t>L</w:t>
      </w:r>
      <w:r w:rsidRPr="00776496">
        <w:rPr>
          <w:rFonts w:ascii="Times New Roman" w:hAnsi="Times New Roman" w:cs="Times New Roman"/>
          <w:sz w:val="20"/>
          <w:szCs w:val="20"/>
        </w:rPr>
        <w:t>es nombres entre parenthèses représentent les erreurs standards robustes des coefficients estimés; *, **, *** représentent les significativités à 10%, 5% et 1%.</w:t>
      </w:r>
    </w:p>
    <w:p w14:paraId="79D26EFD" w14:textId="22C8B974" w:rsidR="00F13439" w:rsidRPr="00776496" w:rsidRDefault="00F13439" w:rsidP="00F13439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776496">
        <w:rPr>
          <w:rFonts w:ascii="Times New Roman" w:hAnsi="Times New Roman" w:cs="Times New Roman"/>
          <w:b/>
          <w:sz w:val="20"/>
          <w:szCs w:val="20"/>
        </w:rPr>
        <w:t>Source</w:t>
      </w:r>
      <w:r w:rsidRPr="00776496">
        <w:rPr>
          <w:rFonts w:ascii="Times New Roman" w:hAnsi="Times New Roman" w:cs="Times New Roman"/>
          <w:sz w:val="20"/>
          <w:szCs w:val="20"/>
        </w:rPr>
        <w:t xml:space="preserve">: </w:t>
      </w:r>
      <w:r w:rsidR="00784212" w:rsidRPr="00776496">
        <w:rPr>
          <w:rFonts w:ascii="Times New Roman" w:hAnsi="Times New Roman" w:cs="Times New Roman"/>
          <w:sz w:val="20"/>
          <w:szCs w:val="20"/>
        </w:rPr>
        <w:t>Auteurs à partir des données de la Banque mondiale (WDI et WGI), de l’Institut Fraser et de la CRU (2021).</w:t>
      </w:r>
    </w:p>
    <w:p w14:paraId="18F8D82C" w14:textId="6205D69F" w:rsidR="00F13439" w:rsidRPr="00776496" w:rsidRDefault="00F13439" w:rsidP="00F13439">
      <w:pPr>
        <w:pStyle w:val="NormalWeb"/>
        <w:spacing w:before="0" w:beforeAutospacing="0" w:after="0" w:afterAutospacing="0" w:line="480" w:lineRule="auto"/>
        <w:jc w:val="both"/>
        <w:rPr>
          <w:b/>
          <w:bCs/>
          <w:lang w:val="fr-FR"/>
        </w:rPr>
      </w:pPr>
      <w:r w:rsidRPr="00776496">
        <w:rPr>
          <w:b/>
          <w:bCs/>
          <w:lang w:val="fr-FR"/>
        </w:rPr>
        <w:t xml:space="preserve">Tableau </w:t>
      </w:r>
      <w:r w:rsidR="000E00BD" w:rsidRPr="00776496">
        <w:rPr>
          <w:b/>
          <w:bCs/>
          <w:lang w:val="fr-FR"/>
        </w:rPr>
        <w:t>A.6</w:t>
      </w:r>
      <w:r w:rsidRPr="00776496">
        <w:rPr>
          <w:b/>
          <w:bCs/>
          <w:lang w:val="fr-FR"/>
        </w:rPr>
        <w:t>: Effets de la température sur l’emploi des jeunes et l’emploi agricole</w:t>
      </w:r>
    </w:p>
    <w:tbl>
      <w:tblPr>
        <w:tblW w:w="10350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0"/>
        <w:gridCol w:w="1800"/>
        <w:gridCol w:w="1724"/>
        <w:gridCol w:w="2146"/>
        <w:gridCol w:w="1710"/>
      </w:tblGrid>
      <w:tr w:rsidR="00F13439" w:rsidRPr="00776496" w14:paraId="34821477" w14:textId="77777777" w:rsidTr="004558FF">
        <w:trPr>
          <w:trHeight w:val="264"/>
          <w:jc w:val="center"/>
        </w:trPr>
        <w:tc>
          <w:tcPr>
            <w:tcW w:w="2970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1D89D7FE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352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C2FF41A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Emploi des jeunes</w:t>
            </w: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6B47890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Emploi agricole</w:t>
            </w:r>
          </w:p>
        </w:tc>
      </w:tr>
      <w:tr w:rsidR="00F13439" w:rsidRPr="00776496" w14:paraId="0C43AF8F" w14:textId="77777777" w:rsidTr="004558FF">
        <w:trPr>
          <w:trHeight w:val="255"/>
          <w:jc w:val="center"/>
        </w:trPr>
        <w:tc>
          <w:tcPr>
            <w:tcW w:w="2970" w:type="dxa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7D57DF23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F182D9D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Pays désertiques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4D9AA917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Pays tropicaux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4155B504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Pays désertiques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100E363E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Pays tropicaux</w:t>
            </w:r>
          </w:p>
        </w:tc>
      </w:tr>
      <w:tr w:rsidR="00F13439" w:rsidRPr="00776496" w14:paraId="55552C8F" w14:textId="77777777" w:rsidTr="004558FF">
        <w:trPr>
          <w:trHeight w:val="264"/>
          <w:jc w:val="center"/>
        </w:trPr>
        <w:tc>
          <w:tcPr>
            <w:tcW w:w="297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BB2BBEC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2DFFE57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72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62D0C85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14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9463E02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6C59796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F13439" w:rsidRPr="00776496" w14:paraId="40C2F1D5" w14:textId="77777777" w:rsidTr="004558FF">
        <w:trPr>
          <w:trHeight w:val="112"/>
          <w:jc w:val="center"/>
        </w:trPr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9B4656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Température 2010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E629A8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3,800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D8F8C3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-1,761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CC0571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13,06**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F98729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-1,981</w:t>
            </w:r>
          </w:p>
        </w:tc>
      </w:tr>
      <w:tr w:rsidR="00F13439" w:rsidRPr="00776496" w14:paraId="76984A68" w14:textId="77777777" w:rsidTr="004558FF">
        <w:trPr>
          <w:trHeight w:val="25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11C44C3A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2AD0A5D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(4,356)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33735B97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(3,069)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14:paraId="6B8D8678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(6,006)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F6CA8E6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(4,093)</w:t>
            </w:r>
          </w:p>
        </w:tc>
      </w:tr>
      <w:tr w:rsidR="00F13439" w:rsidRPr="00776496" w14:paraId="386736BD" w14:textId="77777777" w:rsidTr="004558FF">
        <w:trPr>
          <w:trHeight w:val="25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4B6B633A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Post 2010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1CA9430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-3,413*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03A3F9C4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-6,303***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14:paraId="44B17F49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-3,005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6CFE5D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-8,288***</w:t>
            </w:r>
          </w:p>
        </w:tc>
      </w:tr>
      <w:tr w:rsidR="00F13439" w:rsidRPr="00776496" w14:paraId="01055F80" w14:textId="77777777" w:rsidTr="004558FF">
        <w:trPr>
          <w:trHeight w:val="264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6AABBB49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93CDC6C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(2,003)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0EE11393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(1,208)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14:paraId="6BB896F0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(2,665)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383594B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(1,512)</w:t>
            </w:r>
          </w:p>
        </w:tc>
      </w:tr>
      <w:tr w:rsidR="00F13439" w:rsidRPr="00776496" w14:paraId="0F984B79" w14:textId="77777777" w:rsidTr="004558FF">
        <w:trPr>
          <w:trHeight w:val="264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462D6F64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Post x Température 2010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8172A84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-9,681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0BC6F16F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-0,586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14:paraId="6A28DCE1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-26,43***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CAE8E5D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-2,500</w:t>
            </w:r>
          </w:p>
        </w:tc>
      </w:tr>
      <w:tr w:rsidR="00F13439" w:rsidRPr="00776496" w14:paraId="58B87565" w14:textId="77777777" w:rsidTr="004558FF">
        <w:trPr>
          <w:trHeight w:val="25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60941195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B737CE9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(6,070)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088BD32F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(3,732)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14:paraId="7731720F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(8,170)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F1AE4C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(4,898)</w:t>
            </w:r>
          </w:p>
        </w:tc>
      </w:tr>
      <w:tr w:rsidR="00F13439" w:rsidRPr="00776496" w14:paraId="527E427E" w14:textId="77777777" w:rsidTr="004558FF">
        <w:trPr>
          <w:trHeight w:val="264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377C9116" w14:textId="6C4AC5F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Constant</w:t>
            </w:r>
            <w:r w:rsidR="00391B53" w:rsidRPr="0077649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0D6DA53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45,00***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0D827A1F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43,42***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14:paraId="6193B42D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53,73***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A741609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57,84***</w:t>
            </w:r>
          </w:p>
        </w:tc>
      </w:tr>
      <w:tr w:rsidR="00F13439" w:rsidRPr="00776496" w14:paraId="68CCFAB8" w14:textId="77777777" w:rsidTr="004558FF">
        <w:trPr>
          <w:trHeight w:val="25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50C9B2EA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4E19E5C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(1,206)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3E852A14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(0,720)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14:paraId="15AC285F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(1,675)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957598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(0,845)</w:t>
            </w:r>
          </w:p>
        </w:tc>
      </w:tr>
      <w:tr w:rsidR="00F13439" w:rsidRPr="00776496" w14:paraId="4FC47A9F" w14:textId="77777777" w:rsidTr="004558FF">
        <w:trPr>
          <w:trHeight w:val="264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1ABB4F05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ED3350E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27A72371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14:paraId="52077938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3C24B04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</w:tr>
      <w:tr w:rsidR="00F13439" w:rsidRPr="00776496" w14:paraId="72A2AECE" w14:textId="77777777" w:rsidTr="004558FF">
        <w:tblPrEx>
          <w:tblBorders>
            <w:bottom w:val="single" w:sz="6" w:space="0" w:color="auto"/>
          </w:tblBorders>
        </w:tblPrEx>
        <w:trPr>
          <w:trHeight w:val="264"/>
          <w:jc w:val="center"/>
        </w:trPr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A0F902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764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7D9400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0,019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A38868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0,045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B4F7C4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0,033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91E8F4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0,057</w:t>
            </w:r>
          </w:p>
        </w:tc>
      </w:tr>
    </w:tbl>
    <w:p w14:paraId="661910B1" w14:textId="01557E94" w:rsidR="00F13439" w:rsidRPr="00776496" w:rsidRDefault="00F13439" w:rsidP="00F13439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776496">
        <w:rPr>
          <w:rFonts w:ascii="Times New Roman" w:hAnsi="Times New Roman" w:cs="Times New Roman"/>
          <w:b/>
          <w:sz w:val="20"/>
          <w:szCs w:val="20"/>
        </w:rPr>
        <w:t>Note</w:t>
      </w:r>
      <w:r w:rsidRPr="00776496">
        <w:rPr>
          <w:rFonts w:ascii="Times New Roman" w:hAnsi="Times New Roman" w:cs="Times New Roman"/>
          <w:sz w:val="20"/>
          <w:szCs w:val="20"/>
        </w:rPr>
        <w:t xml:space="preserve">: </w:t>
      </w:r>
      <w:r w:rsidR="00391B53" w:rsidRPr="00776496">
        <w:rPr>
          <w:rFonts w:ascii="Times New Roman" w:hAnsi="Times New Roman" w:cs="Times New Roman"/>
          <w:sz w:val="20"/>
          <w:szCs w:val="20"/>
        </w:rPr>
        <w:t>L</w:t>
      </w:r>
      <w:r w:rsidRPr="00776496">
        <w:rPr>
          <w:rFonts w:ascii="Times New Roman" w:hAnsi="Times New Roman" w:cs="Times New Roman"/>
          <w:sz w:val="20"/>
          <w:szCs w:val="20"/>
        </w:rPr>
        <w:t>es nombres entre parenthèses représentent les erreurs standards robustes des coefficients estimés; *, **, *** représentent les significativités à 10%, 5% et 1%.</w:t>
      </w:r>
    </w:p>
    <w:p w14:paraId="6AA239E1" w14:textId="07804C05" w:rsidR="00F13439" w:rsidRPr="00776496" w:rsidRDefault="00F13439" w:rsidP="00F13439">
      <w:pPr>
        <w:pStyle w:val="NormalWeb"/>
        <w:spacing w:before="0" w:beforeAutospacing="0" w:after="0" w:afterAutospacing="0" w:line="480" w:lineRule="auto"/>
        <w:jc w:val="both"/>
        <w:rPr>
          <w:sz w:val="20"/>
          <w:szCs w:val="20"/>
          <w:lang w:val="fr-FR"/>
        </w:rPr>
      </w:pPr>
      <w:r w:rsidRPr="00776496">
        <w:rPr>
          <w:b/>
          <w:sz w:val="20"/>
          <w:szCs w:val="20"/>
          <w:lang w:val="fr-FR"/>
        </w:rPr>
        <w:lastRenderedPageBreak/>
        <w:t>Source</w:t>
      </w:r>
      <w:r w:rsidRPr="00776496">
        <w:rPr>
          <w:sz w:val="20"/>
          <w:szCs w:val="20"/>
          <w:lang w:val="fr-FR"/>
        </w:rPr>
        <w:t xml:space="preserve">: </w:t>
      </w:r>
      <w:r w:rsidR="00391B53" w:rsidRPr="00776496">
        <w:rPr>
          <w:sz w:val="20"/>
          <w:szCs w:val="20"/>
          <w:lang w:val="fr-FR"/>
        </w:rPr>
        <w:t>Auteurs à partir des données de la Banque mondiale (WDI et WGI), de l’Institut Fraser et de la CRU (2021).</w:t>
      </w:r>
    </w:p>
    <w:p w14:paraId="403A0491" w14:textId="77777777" w:rsidR="00205E62" w:rsidRPr="00776496" w:rsidRDefault="00205E62" w:rsidP="00F13439">
      <w:pPr>
        <w:pStyle w:val="NormalWeb"/>
        <w:spacing w:before="0" w:beforeAutospacing="0" w:after="0" w:afterAutospacing="0" w:line="480" w:lineRule="auto"/>
        <w:jc w:val="both"/>
        <w:rPr>
          <w:sz w:val="20"/>
          <w:szCs w:val="20"/>
          <w:lang w:val="fr-FR"/>
        </w:rPr>
      </w:pPr>
    </w:p>
    <w:p w14:paraId="6C9355EF" w14:textId="72A5E9C3" w:rsidR="00F13439" w:rsidRPr="00776496" w:rsidRDefault="00F13439" w:rsidP="00F13439">
      <w:pPr>
        <w:pStyle w:val="NormalWeb"/>
        <w:spacing w:before="0" w:beforeAutospacing="0" w:after="0" w:afterAutospacing="0" w:line="480" w:lineRule="auto"/>
        <w:jc w:val="both"/>
        <w:rPr>
          <w:b/>
          <w:bCs/>
          <w:lang w:val="fr-FR"/>
        </w:rPr>
      </w:pPr>
      <w:r w:rsidRPr="00776496">
        <w:rPr>
          <w:b/>
          <w:bCs/>
          <w:lang w:val="fr-FR"/>
        </w:rPr>
        <w:t>Table</w:t>
      </w:r>
      <w:r w:rsidR="000E00BD" w:rsidRPr="00776496">
        <w:rPr>
          <w:b/>
          <w:bCs/>
          <w:lang w:val="fr-FR"/>
        </w:rPr>
        <w:t>au A.7</w:t>
      </w:r>
      <w:r w:rsidRPr="00776496">
        <w:rPr>
          <w:b/>
          <w:bCs/>
          <w:lang w:val="fr-FR"/>
        </w:rPr>
        <w:t>: Effets de la sécheresse sur l’emploi des jeunes et l’emploi agricole</w:t>
      </w:r>
    </w:p>
    <w:tbl>
      <w:tblPr>
        <w:tblW w:w="10350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0"/>
        <w:gridCol w:w="1800"/>
        <w:gridCol w:w="1724"/>
        <w:gridCol w:w="2146"/>
        <w:gridCol w:w="1710"/>
      </w:tblGrid>
      <w:tr w:rsidR="00F13439" w:rsidRPr="00776496" w14:paraId="3F8C39EF" w14:textId="77777777" w:rsidTr="004558FF">
        <w:trPr>
          <w:trHeight w:val="264"/>
          <w:jc w:val="center"/>
        </w:trPr>
        <w:tc>
          <w:tcPr>
            <w:tcW w:w="2970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6B54B2EC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352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B6106BD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Emploi des jeunes</w:t>
            </w: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44C5601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Emploi agricole</w:t>
            </w:r>
          </w:p>
        </w:tc>
      </w:tr>
      <w:tr w:rsidR="00F13439" w:rsidRPr="00776496" w14:paraId="4BAD10C6" w14:textId="77777777" w:rsidTr="004558FF">
        <w:trPr>
          <w:trHeight w:val="255"/>
          <w:jc w:val="center"/>
        </w:trPr>
        <w:tc>
          <w:tcPr>
            <w:tcW w:w="2970" w:type="dxa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019749F0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3FC33F0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Pays désertiques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1D613710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Pays tropicaux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58A1A9F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Pays désertiques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0E2C11A1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Pays tropicaux</w:t>
            </w:r>
          </w:p>
        </w:tc>
      </w:tr>
      <w:tr w:rsidR="00F13439" w:rsidRPr="00776496" w14:paraId="66EE30F4" w14:textId="77777777" w:rsidTr="004558FF">
        <w:trPr>
          <w:trHeight w:val="264"/>
          <w:jc w:val="center"/>
        </w:trPr>
        <w:tc>
          <w:tcPr>
            <w:tcW w:w="297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9695A1D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9B2F0BC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72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0CA5336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14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CE6FC35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46662F0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F13439" w:rsidRPr="00776496" w14:paraId="02E2743B" w14:textId="77777777" w:rsidTr="004558FF">
        <w:trPr>
          <w:trHeight w:val="112"/>
          <w:jc w:val="center"/>
        </w:trPr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D90171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Sécheresse 2011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92F1B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0,176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30FD98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3,031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7D8172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-0,0552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DBA1FF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2,806</w:t>
            </w:r>
          </w:p>
        </w:tc>
      </w:tr>
      <w:tr w:rsidR="00F13439" w:rsidRPr="00776496" w14:paraId="2D7B335C" w14:textId="77777777" w:rsidTr="004558FF">
        <w:trPr>
          <w:trHeight w:val="25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44919E93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17D4E84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(3,184)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5F39D1A7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(2,294)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14:paraId="482CDA3F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(4,609)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BD6FE9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(2,928)</w:t>
            </w:r>
          </w:p>
        </w:tc>
      </w:tr>
      <w:tr w:rsidR="00F13439" w:rsidRPr="00776496" w14:paraId="45E68FB8" w14:textId="77777777" w:rsidTr="004558FF">
        <w:trPr>
          <w:trHeight w:val="25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6A6E11AF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Post 2011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BA9486F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-5,200***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484C8657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-6,424***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14:paraId="3ACAA467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-6,965**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11D35F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-8,742***</w:t>
            </w:r>
          </w:p>
        </w:tc>
      </w:tr>
      <w:tr w:rsidR="00F13439" w:rsidRPr="00776496" w14:paraId="449987F8" w14:textId="77777777" w:rsidTr="004558FF">
        <w:trPr>
          <w:trHeight w:val="264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39246621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46EC320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(2,002)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684072DF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(1,166)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14:paraId="0B83C376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(2,701)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8EE2F4D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(1,469)</w:t>
            </w:r>
          </w:p>
        </w:tc>
      </w:tr>
      <w:tr w:rsidR="00F13439" w:rsidRPr="00776496" w14:paraId="22F885EE" w14:textId="77777777" w:rsidTr="004558FF">
        <w:trPr>
          <w:trHeight w:val="264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51021D9E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Post x Sécheresse 2011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9371F26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17,64**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32B2CC19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-4,532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14:paraId="104CA603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19,77**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7898D24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-9,980***</w:t>
            </w:r>
          </w:p>
        </w:tc>
      </w:tr>
      <w:tr w:rsidR="00F13439" w:rsidRPr="00776496" w14:paraId="70C50B27" w14:textId="77777777" w:rsidTr="004558FF">
        <w:trPr>
          <w:trHeight w:val="25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3336CBDC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8378CF0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(6,925)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6626C11B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(5,500)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14:paraId="77CB148D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(8,857)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E06D11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(3,751)</w:t>
            </w:r>
          </w:p>
        </w:tc>
      </w:tr>
      <w:tr w:rsidR="00F13439" w:rsidRPr="00776496" w14:paraId="2B059C71" w14:textId="77777777" w:rsidTr="004558FF">
        <w:trPr>
          <w:trHeight w:val="264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5249B92C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Constant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151BD4D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44,99***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67D81786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42,84***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14:paraId="680B66E3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54,30***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77124C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57,21***</w:t>
            </w:r>
          </w:p>
        </w:tc>
      </w:tr>
      <w:tr w:rsidR="00F13439" w:rsidRPr="00776496" w14:paraId="5BA919D1" w14:textId="77777777" w:rsidTr="004558FF">
        <w:trPr>
          <w:trHeight w:val="25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114F62AF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D899FED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(1,230)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13C92476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(0,717)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14:paraId="268882C8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(1,697)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E0E0A2C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(0,843)</w:t>
            </w:r>
          </w:p>
        </w:tc>
      </w:tr>
      <w:tr w:rsidR="00F13439" w:rsidRPr="00776496" w14:paraId="0253EA11" w14:textId="77777777" w:rsidTr="004558FF">
        <w:trPr>
          <w:trHeight w:val="264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01504CFB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0A5FBCD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7AB986F1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14:paraId="3A7ABBFB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18A510C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</w:tr>
      <w:tr w:rsidR="00F13439" w:rsidRPr="00776496" w14:paraId="542571AD" w14:textId="77777777" w:rsidTr="004558FF">
        <w:tblPrEx>
          <w:tblBorders>
            <w:bottom w:val="single" w:sz="6" w:space="0" w:color="auto"/>
          </w:tblBorders>
        </w:tblPrEx>
        <w:trPr>
          <w:trHeight w:val="264"/>
          <w:jc w:val="center"/>
        </w:trPr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8474432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764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1030F3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0,022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328B48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0,045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161B0D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0,019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E18B004" w14:textId="77777777" w:rsidR="00F13439" w:rsidRPr="00776496" w:rsidRDefault="00F13439" w:rsidP="00455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0,055</w:t>
            </w:r>
          </w:p>
        </w:tc>
      </w:tr>
    </w:tbl>
    <w:p w14:paraId="3B86ED17" w14:textId="54B8A921" w:rsidR="00F13439" w:rsidRPr="00776496" w:rsidRDefault="00F13439" w:rsidP="00F13439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776496">
        <w:rPr>
          <w:rFonts w:ascii="Times New Roman" w:hAnsi="Times New Roman" w:cs="Times New Roman"/>
          <w:b/>
          <w:sz w:val="20"/>
          <w:szCs w:val="20"/>
        </w:rPr>
        <w:t>Note</w:t>
      </w:r>
      <w:r w:rsidRPr="00776496">
        <w:rPr>
          <w:rFonts w:ascii="Times New Roman" w:hAnsi="Times New Roman" w:cs="Times New Roman"/>
          <w:sz w:val="20"/>
          <w:szCs w:val="20"/>
        </w:rPr>
        <w:t xml:space="preserve">: </w:t>
      </w:r>
      <w:r w:rsidR="00391B53" w:rsidRPr="00776496">
        <w:rPr>
          <w:rFonts w:ascii="Times New Roman" w:hAnsi="Times New Roman" w:cs="Times New Roman"/>
          <w:sz w:val="20"/>
          <w:szCs w:val="20"/>
        </w:rPr>
        <w:t>L</w:t>
      </w:r>
      <w:r w:rsidRPr="00776496">
        <w:rPr>
          <w:rFonts w:ascii="Times New Roman" w:hAnsi="Times New Roman" w:cs="Times New Roman"/>
          <w:sz w:val="20"/>
          <w:szCs w:val="20"/>
        </w:rPr>
        <w:t>es nombres entre parenthèses représentent les erreurs standards robustes des coefficients estimés ; *, **, *** représentent les significativités à 10%, 5% et 1%.</w:t>
      </w:r>
    </w:p>
    <w:p w14:paraId="42424CC5" w14:textId="2829257A" w:rsidR="00F13439" w:rsidRPr="00776496" w:rsidRDefault="00F13439" w:rsidP="00F13439">
      <w:pPr>
        <w:pStyle w:val="NormalWeb"/>
        <w:spacing w:before="0" w:beforeAutospacing="0" w:after="0" w:afterAutospacing="0" w:line="480" w:lineRule="auto"/>
        <w:jc w:val="both"/>
        <w:rPr>
          <w:sz w:val="20"/>
          <w:szCs w:val="20"/>
          <w:lang w:val="fr-FR"/>
        </w:rPr>
      </w:pPr>
      <w:r w:rsidRPr="00776496">
        <w:rPr>
          <w:b/>
          <w:sz w:val="20"/>
          <w:szCs w:val="20"/>
          <w:lang w:val="fr-FR"/>
        </w:rPr>
        <w:t>Source</w:t>
      </w:r>
      <w:r w:rsidRPr="00776496">
        <w:rPr>
          <w:sz w:val="20"/>
          <w:szCs w:val="20"/>
          <w:lang w:val="fr-FR"/>
        </w:rPr>
        <w:t xml:space="preserve">: </w:t>
      </w:r>
      <w:r w:rsidR="00391B53" w:rsidRPr="00776496">
        <w:rPr>
          <w:sz w:val="20"/>
          <w:szCs w:val="20"/>
          <w:lang w:val="fr-FR"/>
        </w:rPr>
        <w:t>Auteurs à partir des données de la Banque mondiale (WDI et WGI), de l’Institut Fraser et de la CRU (2021).</w:t>
      </w:r>
    </w:p>
    <w:p w14:paraId="0487EB00" w14:textId="24805F48" w:rsidR="00F13439" w:rsidRPr="00776496" w:rsidRDefault="00F13439" w:rsidP="00F13439">
      <w:pPr>
        <w:pStyle w:val="NormalWeb"/>
        <w:spacing w:before="0" w:beforeAutospacing="0" w:after="0" w:afterAutospacing="0" w:line="480" w:lineRule="auto"/>
        <w:jc w:val="both"/>
        <w:rPr>
          <w:b/>
          <w:bCs/>
          <w:lang w:val="fr-FR"/>
        </w:rPr>
      </w:pPr>
      <w:r w:rsidRPr="00776496">
        <w:rPr>
          <w:b/>
          <w:bCs/>
          <w:lang w:val="fr-FR"/>
        </w:rPr>
        <w:t>Tablea</w:t>
      </w:r>
      <w:r w:rsidR="00095609" w:rsidRPr="00776496">
        <w:rPr>
          <w:b/>
          <w:bCs/>
          <w:lang w:val="fr-FR"/>
        </w:rPr>
        <w:t>u A.8</w:t>
      </w:r>
      <w:r w:rsidRPr="00776496">
        <w:rPr>
          <w:b/>
          <w:bCs/>
          <w:lang w:val="fr-FR"/>
        </w:rPr>
        <w:t>: Estimation non linéaire des effets de la température sur l</w:t>
      </w:r>
      <w:r w:rsidR="0082153B">
        <w:rPr>
          <w:b/>
          <w:bCs/>
          <w:lang w:val="fr-FR"/>
        </w:rPr>
        <w:t>’</w:t>
      </w:r>
      <w:r w:rsidRPr="00776496">
        <w:rPr>
          <w:b/>
          <w:bCs/>
          <w:lang w:val="fr-FR"/>
        </w:rPr>
        <w:t>emploi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00"/>
        <w:gridCol w:w="1350"/>
        <w:gridCol w:w="1613"/>
        <w:gridCol w:w="1899"/>
        <w:gridCol w:w="1798"/>
      </w:tblGrid>
      <w:tr w:rsidR="00F13439" w:rsidRPr="00776496" w14:paraId="524513B9" w14:textId="77777777" w:rsidTr="004558FF"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</w:tcPr>
          <w:p w14:paraId="6D4F12C6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</w:tcPr>
          <w:p w14:paraId="0D90237A" w14:textId="57B8803F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Emploi des jeunes</w:t>
            </w:r>
          </w:p>
        </w:tc>
        <w:tc>
          <w:tcPr>
            <w:tcW w:w="1613" w:type="dxa"/>
            <w:tcBorders>
              <w:left w:val="nil"/>
              <w:bottom w:val="single" w:sz="4" w:space="0" w:color="auto"/>
              <w:right w:val="nil"/>
            </w:tcBorders>
          </w:tcPr>
          <w:p w14:paraId="6DADC85F" w14:textId="01B075ED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Emploi agricole</w:t>
            </w:r>
          </w:p>
        </w:tc>
        <w:tc>
          <w:tcPr>
            <w:tcW w:w="1899" w:type="dxa"/>
            <w:tcBorders>
              <w:left w:val="nil"/>
              <w:bottom w:val="single" w:sz="4" w:space="0" w:color="auto"/>
              <w:right w:val="nil"/>
            </w:tcBorders>
          </w:tcPr>
          <w:p w14:paraId="3EECE889" w14:textId="69A8A829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Emploi industriel</w:t>
            </w:r>
          </w:p>
        </w:tc>
        <w:tc>
          <w:tcPr>
            <w:tcW w:w="1798" w:type="dxa"/>
            <w:tcBorders>
              <w:left w:val="nil"/>
              <w:bottom w:val="single" w:sz="4" w:space="0" w:color="auto"/>
              <w:right w:val="nil"/>
            </w:tcBorders>
          </w:tcPr>
          <w:p w14:paraId="21A1ABB5" w14:textId="0FEC9BB3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 xml:space="preserve">Emploi </w:t>
            </w:r>
            <w:r w:rsidR="00391B53" w:rsidRPr="00776496">
              <w:rPr>
                <w:rFonts w:ascii="Times New Roman" w:hAnsi="Times New Roman" w:cs="Times New Roman"/>
                <w:sz w:val="24"/>
                <w:szCs w:val="24"/>
              </w:rPr>
              <w:t>dans l</w:t>
            </w: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es services</w:t>
            </w:r>
          </w:p>
        </w:tc>
      </w:tr>
      <w:tr w:rsidR="00F13439" w:rsidRPr="00776496" w14:paraId="7F46E4CA" w14:textId="77777777" w:rsidTr="004558FF"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3F12794C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Température 2010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42C43153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-5,194***</w:t>
            </w:r>
          </w:p>
        </w:tc>
        <w:tc>
          <w:tcPr>
            <w:tcW w:w="1613" w:type="dxa"/>
            <w:tcBorders>
              <w:left w:val="nil"/>
              <w:bottom w:val="nil"/>
              <w:right w:val="nil"/>
            </w:tcBorders>
          </w:tcPr>
          <w:p w14:paraId="7BA51963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-6,350***</w:t>
            </w:r>
          </w:p>
        </w:tc>
        <w:tc>
          <w:tcPr>
            <w:tcW w:w="1899" w:type="dxa"/>
            <w:tcBorders>
              <w:left w:val="nil"/>
              <w:bottom w:val="nil"/>
              <w:right w:val="nil"/>
            </w:tcBorders>
          </w:tcPr>
          <w:p w14:paraId="07CBDBD0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0,766</w:t>
            </w:r>
          </w:p>
        </w:tc>
        <w:tc>
          <w:tcPr>
            <w:tcW w:w="1798" w:type="dxa"/>
            <w:tcBorders>
              <w:left w:val="nil"/>
              <w:bottom w:val="nil"/>
              <w:right w:val="nil"/>
            </w:tcBorders>
          </w:tcPr>
          <w:p w14:paraId="32BC5CF5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5,584***</w:t>
            </w:r>
          </w:p>
        </w:tc>
      </w:tr>
      <w:tr w:rsidR="00F13439" w:rsidRPr="00776496" w14:paraId="75051F46" w14:textId="77777777" w:rsidTr="004558FF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DC405A7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419C3A4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(1,086)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2B733A9A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(1,399)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7E9BFF7B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(0,467)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41A51435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(1,114)</w:t>
            </w:r>
          </w:p>
        </w:tc>
      </w:tr>
      <w:tr w:rsidR="00F13439" w:rsidRPr="00776496" w14:paraId="13D3B190" w14:textId="77777777" w:rsidTr="004558FF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08DC174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Post 2010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9437740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0,520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6C42B29B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3,888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55CAD4C6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-2,857**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6151A27E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-1,031</w:t>
            </w:r>
          </w:p>
        </w:tc>
      </w:tr>
      <w:tr w:rsidR="00F13439" w:rsidRPr="00776496" w14:paraId="1F1FA38C" w14:textId="77777777" w:rsidTr="004558FF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B4FA978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25375C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(2,746)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00C9AB4D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(3,537)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53BD6B95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(1,181)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24D51F54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(2,816)</w:t>
            </w:r>
          </w:p>
        </w:tc>
      </w:tr>
      <w:tr w:rsidR="00F13439" w:rsidRPr="00776496" w14:paraId="37D21B9E" w14:textId="77777777" w:rsidTr="004558FF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BD1F705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Post x Température 2010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0FE4764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-4,249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1605B999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-11,30***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74ADD621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4,559***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4BFCAEFE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6,737*</w:t>
            </w:r>
          </w:p>
        </w:tc>
      </w:tr>
      <w:tr w:rsidR="00F13439" w:rsidRPr="00776496" w14:paraId="4BA3B1F6" w14:textId="77777777" w:rsidTr="004558FF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27A51F8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9A75B33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(3,392)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2462B801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(4,370)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7A39B73B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(1,459)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13374D78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(3,479)</w:t>
            </w:r>
          </w:p>
        </w:tc>
      </w:tr>
      <w:tr w:rsidR="00F13439" w:rsidRPr="00776496" w14:paraId="276A2665" w14:textId="77777777" w:rsidTr="004558FF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1EEFB23" w14:textId="201CDDC6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Constant</w:t>
            </w:r>
            <w:r w:rsidR="00905AB5" w:rsidRPr="0077649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8256693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44,00***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3DDCEEB8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56,35***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5FBED019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11,36***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36424552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32,29***</w:t>
            </w:r>
          </w:p>
        </w:tc>
      </w:tr>
      <w:tr w:rsidR="00F13439" w:rsidRPr="00776496" w14:paraId="1A335EA0" w14:textId="77777777" w:rsidTr="004558FF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E4FAEBC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1EF250F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(0,622)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0E6D8439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(0,801)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1A763508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(0,268)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43DD41D5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(0,638)</w:t>
            </w:r>
          </w:p>
        </w:tc>
      </w:tr>
      <w:tr w:rsidR="00F13439" w:rsidRPr="00776496" w14:paraId="0DDBF82D" w14:textId="77777777" w:rsidTr="004558FF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FC1D639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A442818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73C2DCF5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15A3A4B5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41F2776A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1,230</w:t>
            </w:r>
          </w:p>
        </w:tc>
      </w:tr>
      <w:tr w:rsidR="00F13439" w:rsidRPr="00776496" w14:paraId="7667C1A2" w14:textId="77777777" w:rsidTr="004558FF">
        <w:tc>
          <w:tcPr>
            <w:tcW w:w="2700" w:type="dxa"/>
            <w:tcBorders>
              <w:top w:val="nil"/>
              <w:left w:val="nil"/>
              <w:right w:val="nil"/>
            </w:tcBorders>
          </w:tcPr>
          <w:p w14:paraId="4ACC8195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764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2294038D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0,031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</w:tcPr>
          <w:p w14:paraId="23590A92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0,038</w:t>
            </w:r>
          </w:p>
        </w:tc>
        <w:tc>
          <w:tcPr>
            <w:tcW w:w="1899" w:type="dxa"/>
            <w:tcBorders>
              <w:top w:val="nil"/>
              <w:left w:val="nil"/>
              <w:right w:val="nil"/>
            </w:tcBorders>
          </w:tcPr>
          <w:p w14:paraId="29F74E6B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0,015</w:t>
            </w:r>
          </w:p>
        </w:tc>
        <w:tc>
          <w:tcPr>
            <w:tcW w:w="1798" w:type="dxa"/>
            <w:tcBorders>
              <w:top w:val="nil"/>
              <w:left w:val="nil"/>
              <w:right w:val="nil"/>
            </w:tcBorders>
          </w:tcPr>
          <w:p w14:paraId="0F882E60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0,040</w:t>
            </w:r>
          </w:p>
        </w:tc>
      </w:tr>
    </w:tbl>
    <w:p w14:paraId="057C5CDD" w14:textId="7F69F863" w:rsidR="00F13439" w:rsidRPr="00776496" w:rsidRDefault="00F13439" w:rsidP="00F13439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776496">
        <w:rPr>
          <w:rFonts w:ascii="Times New Roman" w:hAnsi="Times New Roman" w:cs="Times New Roman"/>
          <w:b/>
          <w:sz w:val="20"/>
          <w:szCs w:val="20"/>
        </w:rPr>
        <w:t>Note</w:t>
      </w:r>
      <w:r w:rsidRPr="00776496">
        <w:rPr>
          <w:rFonts w:ascii="Times New Roman" w:hAnsi="Times New Roman" w:cs="Times New Roman"/>
          <w:sz w:val="20"/>
          <w:szCs w:val="20"/>
        </w:rPr>
        <w:t>: les nombres entre parenthèses représentent les erreurs standards robustes des coefficients estimés ; *, **, *** représentent les significativités à 10%, 5% et 1%.</w:t>
      </w:r>
    </w:p>
    <w:p w14:paraId="0F034B40" w14:textId="73222172" w:rsidR="00F13439" w:rsidRPr="00776496" w:rsidRDefault="00F13439" w:rsidP="00F13439">
      <w:pPr>
        <w:pStyle w:val="NormalWeb"/>
        <w:spacing w:before="0" w:beforeAutospacing="0" w:after="0" w:afterAutospacing="0" w:line="480" w:lineRule="auto"/>
        <w:jc w:val="both"/>
        <w:rPr>
          <w:sz w:val="20"/>
          <w:szCs w:val="20"/>
          <w:lang w:val="fr-FR"/>
        </w:rPr>
      </w:pPr>
      <w:r w:rsidRPr="00776496">
        <w:rPr>
          <w:b/>
          <w:sz w:val="20"/>
          <w:szCs w:val="20"/>
          <w:lang w:val="fr-FR"/>
        </w:rPr>
        <w:t>Source</w:t>
      </w:r>
      <w:r w:rsidRPr="00776496">
        <w:rPr>
          <w:sz w:val="20"/>
          <w:szCs w:val="20"/>
          <w:lang w:val="fr-FR"/>
        </w:rPr>
        <w:t xml:space="preserve">: </w:t>
      </w:r>
      <w:r w:rsidR="00391B53" w:rsidRPr="00776496">
        <w:rPr>
          <w:sz w:val="20"/>
          <w:szCs w:val="20"/>
          <w:lang w:val="fr-FR"/>
        </w:rPr>
        <w:t>Auteurs à partir des données de la Banque mondiale (WDI et WGI), de l’Institut Fraser et de la CRU (2021).</w:t>
      </w:r>
    </w:p>
    <w:p w14:paraId="0C6A9C3D" w14:textId="218609A2" w:rsidR="00F13439" w:rsidRPr="00776496" w:rsidRDefault="00095609" w:rsidP="00F13439">
      <w:pPr>
        <w:pStyle w:val="NormalWeb"/>
        <w:spacing w:before="0" w:beforeAutospacing="0" w:after="0" w:afterAutospacing="0" w:line="480" w:lineRule="auto"/>
        <w:jc w:val="both"/>
        <w:rPr>
          <w:b/>
          <w:bCs/>
          <w:lang w:val="fr-FR"/>
        </w:rPr>
      </w:pPr>
      <w:r w:rsidRPr="00776496">
        <w:rPr>
          <w:b/>
          <w:bCs/>
          <w:lang w:val="fr-FR"/>
        </w:rPr>
        <w:t>Tableau A.9</w:t>
      </w:r>
      <w:r w:rsidR="00F13439" w:rsidRPr="00776496">
        <w:rPr>
          <w:b/>
          <w:bCs/>
          <w:lang w:val="fr-FR"/>
        </w:rPr>
        <w:t>: Estimation non linéaire des effets de la sécheresse sur l</w:t>
      </w:r>
      <w:r w:rsidR="00391B53" w:rsidRPr="00776496">
        <w:rPr>
          <w:b/>
          <w:bCs/>
          <w:lang w:val="fr-FR"/>
        </w:rPr>
        <w:t>’</w:t>
      </w:r>
      <w:r w:rsidR="00F13439" w:rsidRPr="00776496">
        <w:rPr>
          <w:b/>
          <w:bCs/>
          <w:lang w:val="fr-FR"/>
        </w:rPr>
        <w:t>emploi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00"/>
        <w:gridCol w:w="1350"/>
        <w:gridCol w:w="1613"/>
        <w:gridCol w:w="1899"/>
        <w:gridCol w:w="1798"/>
      </w:tblGrid>
      <w:tr w:rsidR="00F13439" w:rsidRPr="00776496" w14:paraId="78C9018F" w14:textId="77777777" w:rsidTr="004558FF"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</w:tcPr>
          <w:p w14:paraId="70F8764C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Variables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</w:tcPr>
          <w:p w14:paraId="06DF2CE9" w14:textId="4D8F87C5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Emploi des jeunes</w:t>
            </w:r>
          </w:p>
        </w:tc>
        <w:tc>
          <w:tcPr>
            <w:tcW w:w="1613" w:type="dxa"/>
            <w:tcBorders>
              <w:left w:val="nil"/>
              <w:bottom w:val="single" w:sz="4" w:space="0" w:color="auto"/>
              <w:right w:val="nil"/>
            </w:tcBorders>
          </w:tcPr>
          <w:p w14:paraId="3ACA9E51" w14:textId="59FC7DAF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Emploi agricole</w:t>
            </w:r>
          </w:p>
        </w:tc>
        <w:tc>
          <w:tcPr>
            <w:tcW w:w="1899" w:type="dxa"/>
            <w:tcBorders>
              <w:left w:val="nil"/>
              <w:bottom w:val="single" w:sz="4" w:space="0" w:color="auto"/>
              <w:right w:val="nil"/>
            </w:tcBorders>
          </w:tcPr>
          <w:p w14:paraId="0A2861B2" w14:textId="18E11216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Emploi industriel</w:t>
            </w:r>
          </w:p>
        </w:tc>
        <w:tc>
          <w:tcPr>
            <w:tcW w:w="1798" w:type="dxa"/>
            <w:tcBorders>
              <w:left w:val="nil"/>
              <w:bottom w:val="single" w:sz="4" w:space="0" w:color="auto"/>
              <w:right w:val="nil"/>
            </w:tcBorders>
          </w:tcPr>
          <w:p w14:paraId="4A389C17" w14:textId="5E11B8B8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Emploi d</w:t>
            </w:r>
            <w:r w:rsidR="00776496" w:rsidRPr="00776496">
              <w:rPr>
                <w:rFonts w:ascii="Times New Roman" w:hAnsi="Times New Roman" w:cs="Times New Roman"/>
                <w:sz w:val="24"/>
                <w:szCs w:val="24"/>
              </w:rPr>
              <w:t>ans l</w:t>
            </w: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es services</w:t>
            </w:r>
          </w:p>
        </w:tc>
      </w:tr>
      <w:tr w:rsidR="00F13439" w:rsidRPr="00776496" w14:paraId="2AD88FCE" w14:textId="77777777" w:rsidTr="004558FF"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524DB7AB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Température 2011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0A8C0A8B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-5,965***</w:t>
            </w:r>
          </w:p>
        </w:tc>
        <w:tc>
          <w:tcPr>
            <w:tcW w:w="1613" w:type="dxa"/>
            <w:tcBorders>
              <w:left w:val="nil"/>
              <w:bottom w:val="nil"/>
              <w:right w:val="nil"/>
            </w:tcBorders>
          </w:tcPr>
          <w:p w14:paraId="397D2DCB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-8,111***</w:t>
            </w:r>
          </w:p>
        </w:tc>
        <w:tc>
          <w:tcPr>
            <w:tcW w:w="1899" w:type="dxa"/>
            <w:tcBorders>
              <w:left w:val="nil"/>
              <w:bottom w:val="nil"/>
              <w:right w:val="nil"/>
            </w:tcBorders>
          </w:tcPr>
          <w:p w14:paraId="1252A089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1,259***</w:t>
            </w:r>
          </w:p>
        </w:tc>
        <w:tc>
          <w:tcPr>
            <w:tcW w:w="1798" w:type="dxa"/>
            <w:tcBorders>
              <w:left w:val="nil"/>
              <w:bottom w:val="nil"/>
              <w:right w:val="nil"/>
            </w:tcBorders>
          </w:tcPr>
          <w:p w14:paraId="06E56ECE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6,851***</w:t>
            </w:r>
          </w:p>
        </w:tc>
      </w:tr>
      <w:tr w:rsidR="00F13439" w:rsidRPr="00776496" w14:paraId="6F646781" w14:textId="77777777" w:rsidTr="004558FF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111A9CD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DAC00C1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(1,057)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3AA5B971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(1,365)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02C7E8EA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(0,456)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4A3F09B6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(1,086)</w:t>
            </w:r>
          </w:p>
        </w:tc>
      </w:tr>
      <w:tr w:rsidR="00F13439" w:rsidRPr="00776496" w14:paraId="0341DD47" w14:textId="77777777" w:rsidTr="004558FF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9E3AF47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Post 2011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EC83AE5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1,960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52881FA8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1,396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4B336046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-0,387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0D013B05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-1,009</w:t>
            </w:r>
          </w:p>
        </w:tc>
      </w:tr>
      <w:tr w:rsidR="00F13439" w:rsidRPr="00776496" w14:paraId="182BF579" w14:textId="77777777" w:rsidTr="004558FF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0D29196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927E216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(1,920)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0A19587C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(2,480)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09645582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(0,828)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69310223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(1,973)</w:t>
            </w:r>
          </w:p>
        </w:tc>
      </w:tr>
      <w:tr w:rsidR="00F13439" w:rsidRPr="00776496" w14:paraId="3AB9C017" w14:textId="77777777" w:rsidTr="004558FF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974E6FD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Post x Température 2011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4CE756A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4,384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3F7B46DD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2,147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775A6094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0,325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6137F4DE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-2,472</w:t>
            </w:r>
          </w:p>
        </w:tc>
      </w:tr>
      <w:tr w:rsidR="00F13439" w:rsidRPr="00776496" w14:paraId="58C68DF1" w14:textId="77777777" w:rsidTr="004558FF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030B0B39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9BA4D84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(4,849)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5B3CA98E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(6,265)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41418CF2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(2,091)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0AC8EA06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(4,985)</w:t>
            </w:r>
          </w:p>
        </w:tc>
      </w:tr>
      <w:tr w:rsidR="00F13439" w:rsidRPr="00776496" w14:paraId="78235F62" w14:textId="77777777" w:rsidTr="004558FF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440455E" w14:textId="6E543384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Constant</w:t>
            </w:r>
            <w:r w:rsidR="00BC3D00" w:rsidRPr="0077649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0B219CA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43,61***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0B9430C7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56,16***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4F200654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11,28***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1A9F9BA9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32,55***</w:t>
            </w:r>
          </w:p>
        </w:tc>
      </w:tr>
      <w:tr w:rsidR="00F13439" w:rsidRPr="00776496" w14:paraId="69E20E1B" w14:textId="77777777" w:rsidTr="004558FF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000F2D43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1482427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(0,625)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279FCA95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(0,808)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382B7226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(0,270)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75C6E23C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(0,643)</w:t>
            </w:r>
          </w:p>
        </w:tc>
      </w:tr>
      <w:tr w:rsidR="00F13439" w:rsidRPr="00776496" w14:paraId="6E60F8A7" w14:textId="77777777" w:rsidTr="004558FF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0441AD2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FC5AB2D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0D44C2BB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21EF2A45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6F356497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</w:tr>
      <w:tr w:rsidR="00F13439" w:rsidRPr="00776496" w14:paraId="62202845" w14:textId="77777777" w:rsidTr="004558FF">
        <w:tc>
          <w:tcPr>
            <w:tcW w:w="2700" w:type="dxa"/>
            <w:tcBorders>
              <w:top w:val="nil"/>
              <w:left w:val="nil"/>
              <w:right w:val="nil"/>
            </w:tcBorders>
          </w:tcPr>
          <w:p w14:paraId="19300BFE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764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6348C359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0,029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</w:tcPr>
          <w:p w14:paraId="797B1062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0,030</w:t>
            </w:r>
          </w:p>
        </w:tc>
        <w:tc>
          <w:tcPr>
            <w:tcW w:w="1899" w:type="dxa"/>
            <w:tcBorders>
              <w:top w:val="nil"/>
              <w:left w:val="nil"/>
              <w:right w:val="nil"/>
            </w:tcBorders>
          </w:tcPr>
          <w:p w14:paraId="013084C1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0,007</w:t>
            </w:r>
          </w:p>
        </w:tc>
        <w:tc>
          <w:tcPr>
            <w:tcW w:w="1798" w:type="dxa"/>
            <w:tcBorders>
              <w:top w:val="nil"/>
              <w:left w:val="nil"/>
              <w:right w:val="nil"/>
            </w:tcBorders>
          </w:tcPr>
          <w:p w14:paraId="3D618B0C" w14:textId="77777777" w:rsidR="00F13439" w:rsidRPr="00776496" w:rsidRDefault="00F13439" w:rsidP="004558FF">
            <w:pPr>
              <w:tabs>
                <w:tab w:val="left" w:pos="1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496">
              <w:rPr>
                <w:rFonts w:ascii="Times New Roman" w:hAnsi="Times New Roman" w:cs="Times New Roman"/>
                <w:sz w:val="24"/>
                <w:szCs w:val="24"/>
              </w:rPr>
              <w:t>0,034</w:t>
            </w:r>
          </w:p>
        </w:tc>
      </w:tr>
    </w:tbl>
    <w:p w14:paraId="06B5CD5D" w14:textId="344AD26B" w:rsidR="00F13439" w:rsidRPr="00776496" w:rsidRDefault="00F13439" w:rsidP="00F13439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776496">
        <w:rPr>
          <w:rFonts w:ascii="Times New Roman" w:hAnsi="Times New Roman" w:cs="Times New Roman"/>
          <w:b/>
          <w:sz w:val="20"/>
          <w:szCs w:val="20"/>
        </w:rPr>
        <w:t>Note</w:t>
      </w:r>
      <w:r w:rsidRPr="00776496">
        <w:rPr>
          <w:rFonts w:ascii="Times New Roman" w:hAnsi="Times New Roman" w:cs="Times New Roman"/>
          <w:sz w:val="20"/>
          <w:szCs w:val="20"/>
        </w:rPr>
        <w:t xml:space="preserve">: </w:t>
      </w:r>
      <w:r w:rsidR="00776496" w:rsidRPr="00776496">
        <w:rPr>
          <w:rFonts w:ascii="Times New Roman" w:hAnsi="Times New Roman" w:cs="Times New Roman"/>
          <w:sz w:val="20"/>
          <w:szCs w:val="20"/>
        </w:rPr>
        <w:t>L</w:t>
      </w:r>
      <w:r w:rsidRPr="00776496">
        <w:rPr>
          <w:rFonts w:ascii="Times New Roman" w:hAnsi="Times New Roman" w:cs="Times New Roman"/>
          <w:sz w:val="20"/>
          <w:szCs w:val="20"/>
        </w:rPr>
        <w:t>es nombres entre parenthèses représentent les erreurs standards robustes des coefficients estimés ; *, **, *** représentent les significativités à 10%, 5% et 1%.</w:t>
      </w:r>
    </w:p>
    <w:p w14:paraId="07942AA7" w14:textId="095C8258" w:rsidR="00F13439" w:rsidRPr="00776496" w:rsidRDefault="00F13439" w:rsidP="00F13439">
      <w:pPr>
        <w:pStyle w:val="NormalWeb"/>
        <w:spacing w:before="0" w:beforeAutospacing="0" w:after="0" w:afterAutospacing="0" w:line="480" w:lineRule="auto"/>
        <w:jc w:val="both"/>
        <w:rPr>
          <w:sz w:val="20"/>
          <w:szCs w:val="20"/>
          <w:lang w:val="fr-FR"/>
        </w:rPr>
      </w:pPr>
      <w:r w:rsidRPr="00776496">
        <w:rPr>
          <w:b/>
          <w:sz w:val="20"/>
          <w:szCs w:val="20"/>
          <w:lang w:val="fr-FR"/>
        </w:rPr>
        <w:t>Source</w:t>
      </w:r>
      <w:r w:rsidRPr="00776496">
        <w:rPr>
          <w:sz w:val="20"/>
          <w:szCs w:val="20"/>
          <w:lang w:val="fr-FR"/>
        </w:rPr>
        <w:t xml:space="preserve">: </w:t>
      </w:r>
      <w:r w:rsidR="00776496" w:rsidRPr="00776496">
        <w:rPr>
          <w:sz w:val="20"/>
          <w:szCs w:val="20"/>
          <w:lang w:val="fr-FR"/>
        </w:rPr>
        <w:t>Auteurs à partir des données de la Banque mondiale (WDI et WGI), de l’Institut Fraser et de la CRU (2021).</w:t>
      </w:r>
    </w:p>
    <w:p w14:paraId="5A34EF2E" w14:textId="77777777" w:rsidR="00F13439" w:rsidRPr="00776496" w:rsidRDefault="00F13439" w:rsidP="00F13439">
      <w:pPr>
        <w:pStyle w:val="NormalWeb"/>
        <w:spacing w:before="0" w:beforeAutospacing="0" w:after="0" w:afterAutospacing="0" w:line="480" w:lineRule="auto"/>
        <w:jc w:val="both"/>
        <w:rPr>
          <w:b/>
          <w:bCs/>
          <w:lang w:val="fr-FR"/>
        </w:rPr>
      </w:pPr>
    </w:p>
    <w:p w14:paraId="2BAB2F23" w14:textId="77777777" w:rsidR="00E25839" w:rsidRPr="00776496" w:rsidRDefault="00E25839"/>
    <w:sectPr w:rsidR="00E25839" w:rsidRPr="00776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90040" w14:textId="77777777" w:rsidR="00325146" w:rsidRDefault="00325146" w:rsidP="00366905">
      <w:pPr>
        <w:spacing w:after="0" w:line="240" w:lineRule="auto"/>
      </w:pPr>
      <w:r>
        <w:separator/>
      </w:r>
    </w:p>
  </w:endnote>
  <w:endnote w:type="continuationSeparator" w:id="0">
    <w:p w14:paraId="2ECE3A79" w14:textId="77777777" w:rsidR="00325146" w:rsidRDefault="00325146" w:rsidP="00366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E8968" w14:textId="77777777" w:rsidR="00325146" w:rsidRDefault="00325146" w:rsidP="00366905">
      <w:pPr>
        <w:spacing w:after="0" w:line="240" w:lineRule="auto"/>
      </w:pPr>
      <w:r>
        <w:separator/>
      </w:r>
    </w:p>
  </w:footnote>
  <w:footnote w:type="continuationSeparator" w:id="0">
    <w:p w14:paraId="3CAC6D55" w14:textId="77777777" w:rsidR="00325146" w:rsidRDefault="00325146" w:rsidP="003669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439"/>
    <w:rsid w:val="00072428"/>
    <w:rsid w:val="00095609"/>
    <w:rsid w:val="000D28C8"/>
    <w:rsid w:val="000E00BD"/>
    <w:rsid w:val="000E719F"/>
    <w:rsid w:val="00121842"/>
    <w:rsid w:val="0015296D"/>
    <w:rsid w:val="001A6511"/>
    <w:rsid w:val="001C44D3"/>
    <w:rsid w:val="001E23A2"/>
    <w:rsid w:val="00205E62"/>
    <w:rsid w:val="00215D00"/>
    <w:rsid w:val="00296179"/>
    <w:rsid w:val="002D6F04"/>
    <w:rsid w:val="0031648E"/>
    <w:rsid w:val="00325146"/>
    <w:rsid w:val="00354372"/>
    <w:rsid w:val="00366905"/>
    <w:rsid w:val="00391B53"/>
    <w:rsid w:val="003D2A8D"/>
    <w:rsid w:val="00407552"/>
    <w:rsid w:val="004330D4"/>
    <w:rsid w:val="00442F73"/>
    <w:rsid w:val="004568AF"/>
    <w:rsid w:val="004A035D"/>
    <w:rsid w:val="00594B10"/>
    <w:rsid w:val="005B605C"/>
    <w:rsid w:val="005C72CC"/>
    <w:rsid w:val="005E08C0"/>
    <w:rsid w:val="0066395E"/>
    <w:rsid w:val="006916F2"/>
    <w:rsid w:val="006F1E4F"/>
    <w:rsid w:val="00741218"/>
    <w:rsid w:val="00746F6D"/>
    <w:rsid w:val="007548CF"/>
    <w:rsid w:val="00776496"/>
    <w:rsid w:val="00784212"/>
    <w:rsid w:val="007D124C"/>
    <w:rsid w:val="007D3554"/>
    <w:rsid w:val="007E6683"/>
    <w:rsid w:val="00813B26"/>
    <w:rsid w:val="0082153B"/>
    <w:rsid w:val="008853E6"/>
    <w:rsid w:val="008A4091"/>
    <w:rsid w:val="00905AB5"/>
    <w:rsid w:val="0091460D"/>
    <w:rsid w:val="00914F05"/>
    <w:rsid w:val="009A16DD"/>
    <w:rsid w:val="009C6389"/>
    <w:rsid w:val="00A6227F"/>
    <w:rsid w:val="00A71A6A"/>
    <w:rsid w:val="00A90D34"/>
    <w:rsid w:val="00AD6CDE"/>
    <w:rsid w:val="00B161A0"/>
    <w:rsid w:val="00B81DE9"/>
    <w:rsid w:val="00BC07E8"/>
    <w:rsid w:val="00BC3D00"/>
    <w:rsid w:val="00BE1CEF"/>
    <w:rsid w:val="00CE0C2C"/>
    <w:rsid w:val="00D54A7E"/>
    <w:rsid w:val="00D72160"/>
    <w:rsid w:val="00D82FCB"/>
    <w:rsid w:val="00DC3D67"/>
    <w:rsid w:val="00DE2E36"/>
    <w:rsid w:val="00E252B8"/>
    <w:rsid w:val="00E25839"/>
    <w:rsid w:val="00E66675"/>
    <w:rsid w:val="00EF4B7E"/>
    <w:rsid w:val="00EF614D"/>
    <w:rsid w:val="00F13439"/>
    <w:rsid w:val="00F239DC"/>
    <w:rsid w:val="00F6117D"/>
    <w:rsid w:val="00F973A3"/>
    <w:rsid w:val="00FD3DAC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03BC3"/>
  <w15:chartTrackingRefBased/>
  <w15:docId w15:val="{69E3CF62-1722-4AD2-94BE-9F91920B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439"/>
    <w:rPr>
      <w:kern w:val="0"/>
      <w:lang w:val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13439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1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66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6905"/>
    <w:rPr>
      <w:kern w:val="0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66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6905"/>
    <w:rPr>
      <w:kern w:val="0"/>
      <w:lang w:val="fr-FR"/>
      <w14:ligatures w14:val="none"/>
    </w:rPr>
  </w:style>
  <w:style w:type="paragraph" w:styleId="Rvision">
    <w:name w:val="Revision"/>
    <w:hidden/>
    <w:uiPriority w:val="99"/>
    <w:semiHidden/>
    <w:rsid w:val="00594B10"/>
    <w:pPr>
      <w:spacing w:after="0" w:line="240" w:lineRule="auto"/>
    </w:pPr>
    <w:rPr>
      <w:kern w:val="0"/>
      <w:lang w:val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594B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94B1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94B10"/>
    <w:rPr>
      <w:kern w:val="0"/>
      <w:sz w:val="20"/>
      <w:szCs w:val="20"/>
      <w:lang w:val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4B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4B10"/>
    <w:rPr>
      <w:b/>
      <w:bCs/>
      <w:kern w:val="0"/>
      <w:sz w:val="20"/>
      <w:szCs w:val="2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1345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donsadou1@yahoo.fr</dc:creator>
  <cp:keywords/>
  <dc:description/>
  <cp:lastModifiedBy>Isabelle Croix</cp:lastModifiedBy>
  <cp:revision>27</cp:revision>
  <cp:lastPrinted>2025-03-02T10:23:00Z</cp:lastPrinted>
  <dcterms:created xsi:type="dcterms:W3CDTF">2025-02-22T23:38:00Z</dcterms:created>
  <dcterms:modified xsi:type="dcterms:W3CDTF">2025-03-02T12:24:00Z</dcterms:modified>
</cp:coreProperties>
</file>